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r>
        <w:rPr>
          <w:rFonts w:ascii="Arial" w:hAnsi="Arial" w:cs="Arial"/>
          <w:b/>
          <w:bCs/>
          <w:sz w:val="28"/>
        </w:rPr>
        <w:t>3GPP TSG RAN WG1 #1</w:t>
      </w:r>
      <w:r>
        <w:rPr>
          <w:rFonts w:hint="eastAsia" w:ascii="Arial" w:hAnsi="Arial" w:eastAsia="宋体" w:cs="Arial"/>
          <w:b/>
          <w:bCs/>
          <w:sz w:val="28"/>
          <w:lang w:val="en-US" w:eastAsia="zh-CN"/>
        </w:rPr>
        <w:t>10</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R1-220</w:t>
      </w:r>
      <w:r>
        <w:rPr>
          <w:rFonts w:hint="eastAsia" w:ascii="Arial" w:hAnsi="Arial" w:eastAsia="宋体" w:cs="Arial"/>
          <w:b/>
          <w:bCs/>
          <w:sz w:val="28"/>
          <w:lang w:val="en-US" w:eastAsia="zh-CN"/>
        </w:rPr>
        <w:t>7818</w:t>
      </w:r>
      <w:bookmarkStart w:id="3" w:name="_GoBack"/>
      <w:bookmarkEnd w:id="3"/>
    </w:p>
    <w:p>
      <w:pPr>
        <w:tabs>
          <w:tab w:val="center" w:pos="4536"/>
          <w:tab w:val="right" w:pos="9072"/>
        </w:tabs>
        <w:rPr>
          <w:rFonts w:ascii="Arial" w:hAnsi="Arial" w:eastAsia="MS Mincho" w:cs="Arial"/>
          <w:b/>
          <w:bCs/>
          <w:sz w:val="28"/>
          <w:lang w:eastAsia="ja-JP"/>
        </w:rPr>
      </w:pPr>
      <w:r>
        <w:rPr>
          <w:rFonts w:hint="eastAsia" w:ascii="Arial" w:hAnsi="Arial" w:eastAsia="MS Mincho" w:cs="Arial"/>
          <w:b/>
          <w:bCs/>
          <w:sz w:val="28"/>
          <w:lang w:val="en-US" w:eastAsia="ja-JP"/>
        </w:rPr>
        <w:t>Toulouse, France,</w:t>
      </w:r>
      <w:r>
        <w:rPr>
          <w:rFonts w:ascii="Arial" w:hAnsi="Arial" w:eastAsia="MS Mincho" w:cs="Arial"/>
          <w:b/>
          <w:bCs/>
          <w:sz w:val="28"/>
          <w:lang w:eastAsia="ja-JP"/>
        </w:rPr>
        <w:t xml:space="preserve"> </w:t>
      </w:r>
      <w:r>
        <w:rPr>
          <w:rFonts w:hint="eastAsia" w:ascii="Arial" w:hAnsi="Arial" w:eastAsia="宋体" w:cs="Arial"/>
          <w:b/>
          <w:bCs/>
          <w:sz w:val="28"/>
          <w:lang w:val="en-US" w:eastAsia="zh-CN"/>
        </w:rPr>
        <w:t>Aug</w:t>
      </w:r>
      <w:r>
        <w:rPr>
          <w:rFonts w:ascii="Arial" w:hAnsi="Arial" w:eastAsia="MS Mincho" w:cs="Arial"/>
          <w:b/>
          <w:bCs/>
          <w:sz w:val="28"/>
          <w:lang w:eastAsia="ja-JP"/>
        </w:rPr>
        <w:t xml:space="preserve"> </w:t>
      </w:r>
      <w:r>
        <w:rPr>
          <w:rFonts w:hint="eastAsia" w:ascii="Arial" w:hAnsi="Arial" w:eastAsia="宋体" w:cs="Arial"/>
          <w:b/>
          <w:bCs/>
          <w:sz w:val="28"/>
          <w:lang w:val="en-US" w:eastAsia="zh-CN"/>
        </w:rPr>
        <w:t>22</w:t>
      </w:r>
      <w:r>
        <w:rPr>
          <w:rFonts w:hint="eastAsia" w:ascii="Arial" w:hAnsi="Arial" w:eastAsia="宋体" w:cs="Arial"/>
          <w:b/>
          <w:bCs/>
          <w:sz w:val="28"/>
          <w:vertAlign w:val="superscript"/>
          <w:lang w:val="en-US" w:eastAsia="zh-CN"/>
        </w:rPr>
        <w:t>nd</w:t>
      </w:r>
      <w:r>
        <w:rPr>
          <w:rFonts w:ascii="Arial" w:hAnsi="Arial" w:eastAsia="MS Mincho" w:cs="Arial"/>
          <w:b/>
          <w:bCs/>
          <w:sz w:val="28"/>
          <w:lang w:eastAsia="ja-JP"/>
        </w:rPr>
        <w:t xml:space="preserve"> – 2</w:t>
      </w:r>
      <w:r>
        <w:rPr>
          <w:rFonts w:hint="eastAsia" w:ascii="Arial" w:hAnsi="Arial" w:eastAsia="宋体" w:cs="Arial"/>
          <w:b/>
          <w:bCs/>
          <w:sz w:val="28"/>
          <w:lang w:val="en-US" w:eastAsia="zh-CN"/>
        </w:rPr>
        <w:t>6</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pStyle w:val="13"/>
        <w:tabs>
          <w:tab w:val="right" w:pos="9639"/>
        </w:tabs>
        <w:jc w:val="both"/>
        <w:rPr>
          <w:sz w:val="24"/>
        </w:rPr>
      </w:pPr>
      <w:r>
        <w:rPr>
          <w:sz w:val="24"/>
        </w:rPr>
        <w:tab/>
      </w:r>
    </w:p>
    <w:p>
      <w:pPr>
        <w:pStyle w:val="13"/>
        <w:tabs>
          <w:tab w:val="right" w:pos="9639"/>
        </w:tabs>
        <w:jc w:val="both"/>
        <w:rPr>
          <w:i/>
          <w:sz w:val="32"/>
        </w:rPr>
      </w:pPr>
    </w:p>
    <w:p>
      <w:pPr>
        <w:tabs>
          <w:tab w:val="left" w:pos="1985"/>
        </w:tabs>
        <w:jc w:val="both"/>
        <w:rPr>
          <w:rFonts w:ascii="Arial" w:hAnsi="Arial" w:eastAsia="宋体"/>
          <w:sz w:val="24"/>
          <w:lang w:val="en-US" w:eastAsia="zh-CN"/>
        </w:rPr>
      </w:pPr>
      <w:r>
        <w:rPr>
          <w:rFonts w:ascii="Arial" w:hAnsi="Arial"/>
          <w:b/>
          <w:sz w:val="24"/>
          <w:lang w:val="en-US"/>
        </w:rPr>
        <w:t>Agenda item:</w:t>
      </w:r>
      <w:r>
        <w:rPr>
          <w:rFonts w:ascii="Arial" w:hAnsi="Arial"/>
          <w:sz w:val="24"/>
          <w:lang w:val="en-US"/>
        </w:rPr>
        <w:tab/>
      </w:r>
      <w:bookmarkStart w:id="0" w:name="Source"/>
      <w:bookmarkEnd w:id="0"/>
      <w:r>
        <w:rPr>
          <w:rFonts w:hint="eastAsia" w:ascii="Arial" w:hAnsi="Arial" w:eastAsia="宋体"/>
          <w:sz w:val="24"/>
          <w:lang w:val="en-US" w:eastAsia="zh-CN"/>
        </w:rPr>
        <w:t>7.2.1</w:t>
      </w:r>
    </w:p>
    <w:p>
      <w:pPr>
        <w:tabs>
          <w:tab w:val="left" w:pos="1985"/>
        </w:tabs>
        <w:jc w:val="both"/>
        <w:rPr>
          <w:rFonts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eastAsia="宋体"/>
          <w:bCs/>
          <w:sz w:val="24"/>
          <w:lang w:val="en-US" w:eastAsia="zh-CN"/>
        </w:rPr>
        <w:t>Moderator(ZTE)</w:t>
      </w:r>
    </w:p>
    <w:p>
      <w:pPr>
        <w:ind w:left="1988" w:hanging="1988"/>
        <w:jc w:val="both"/>
        <w:rPr>
          <w:rFonts w:ascii="Arial" w:hAnsi="Arial" w:eastAsia="宋体"/>
          <w:sz w:val="28"/>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hint="eastAsia" w:ascii="Arial" w:hAnsi="Arial" w:eastAsia="宋体"/>
          <w:sz w:val="22"/>
          <w:lang w:val="en-US" w:eastAsia="zh-CN"/>
        </w:rPr>
        <w:t>Summary of draft CR on parallel MsgA and other channels</w:t>
      </w:r>
    </w:p>
    <w:p>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p>
    <w:p>
      <w:pPr>
        <w:tabs>
          <w:tab w:val="left" w:pos="1985"/>
        </w:tabs>
        <w:ind w:right="-441"/>
        <w:jc w:val="both"/>
        <w:rPr>
          <w:rFonts w:ascii="Arial" w:hAnsi="Arial"/>
          <w:sz w:val="24"/>
          <w:lang w:val="en-US"/>
        </w:rPr>
      </w:pPr>
    </w:p>
    <w:p>
      <w:pPr>
        <w:pStyle w:val="2"/>
        <w:numPr>
          <w:ilvl w:val="0"/>
          <w:numId w:val="2"/>
        </w:numPr>
        <w:tabs>
          <w:tab w:val="left" w:pos="720"/>
          <w:tab w:val="clear" w:pos="1140"/>
        </w:tabs>
        <w:ind w:left="720" w:hanging="720"/>
        <w:jc w:val="both"/>
        <w:rPr>
          <w:lang w:val="en-US" w:eastAsia="zh-CN"/>
        </w:rPr>
      </w:pPr>
      <w:r>
        <w:rPr>
          <w:lang w:val="en-US"/>
        </w:rPr>
        <w:t>Background</w:t>
      </w:r>
    </w:p>
    <w:p>
      <w:pPr>
        <w:rPr>
          <w:rFonts w:eastAsia="宋体"/>
          <w:lang w:val="en-US" w:eastAsia="zh-CN"/>
        </w:rPr>
      </w:pPr>
      <w:r>
        <w:rPr>
          <w:rFonts w:hint="eastAsia" w:eastAsia="宋体"/>
          <w:lang w:val="en-US" w:eastAsia="zh-CN"/>
        </w:rPr>
        <w:t>This document contains the summary of draft CR on parallel MsgA and other channels using the following email thread:</w:t>
      </w:r>
    </w:p>
    <w:p>
      <w:pPr>
        <w:rPr>
          <w:lang w:val="en-US"/>
        </w:rPr>
      </w:pPr>
      <w:r>
        <w:rPr>
          <w:highlight w:val="cyan"/>
        </w:rPr>
        <w:t>[110-R16-NR] To be used for sharing updates on online/offline schedule, details on what is to be discussed in online/offline sessions, tdoc number of the moderator summary for online session, etc – RAN1 Chair</w:t>
      </w:r>
    </w:p>
    <w:p>
      <w:pPr>
        <w:keepNext/>
        <w:keepLines/>
        <w:numPr>
          <w:ilvl w:val="0"/>
          <w:numId w:val="2"/>
        </w:numPr>
        <w:pBdr>
          <w:top w:val="single" w:color="auto" w:sz="12" w:space="3"/>
        </w:pBdr>
        <w:tabs>
          <w:tab w:val="left" w:pos="720"/>
        </w:tabs>
        <w:overflowPunct w:val="0"/>
        <w:autoSpaceDE w:val="0"/>
        <w:autoSpaceDN w:val="0"/>
        <w:adjustRightInd w:val="0"/>
        <w:spacing w:before="240"/>
        <w:ind w:left="720" w:hanging="720"/>
        <w:jc w:val="both"/>
        <w:textAlignment w:val="baseline"/>
        <w:outlineLvl w:val="0"/>
        <w:rPr>
          <w:rFonts w:ascii="Arial" w:hAnsi="Arial" w:eastAsia="宋体"/>
          <w:sz w:val="36"/>
          <w:lang w:val="en-US"/>
        </w:rPr>
      </w:pPr>
      <w:r>
        <w:rPr>
          <w:rFonts w:ascii="Arial" w:hAnsi="Arial" w:eastAsia="宋体"/>
          <w:sz w:val="36"/>
          <w:lang w:val="en-US"/>
        </w:rPr>
        <w:t>Discussion</w:t>
      </w:r>
    </w:p>
    <w:p>
      <w:pPr>
        <w:rPr>
          <w:rFonts w:eastAsia="宋体"/>
          <w:lang w:val="en-US" w:eastAsia="zh-CN"/>
        </w:rPr>
      </w:pPr>
      <w:r>
        <w:rPr>
          <w:rFonts w:hint="eastAsia" w:eastAsia="宋体"/>
          <w:lang w:val="en-US" w:eastAsia="zh-CN"/>
        </w:rPr>
        <w:t>In</w:t>
      </w:r>
      <w:r>
        <w:rPr>
          <w:lang w:val="en-US"/>
        </w:rPr>
        <w:t xml:space="preserve"> Rel-15, the parallel transmission of SRS and other channels</w:t>
      </w:r>
      <w:r>
        <w:rPr>
          <w:rFonts w:hint="eastAsia" w:eastAsia="宋体"/>
          <w:lang w:val="en-US" w:eastAsia="zh-CN"/>
        </w:rPr>
        <w:t>, PRACH and other channels</w:t>
      </w:r>
      <w:r>
        <w:rPr>
          <w:lang w:val="en-US"/>
        </w:rPr>
        <w:t xml:space="preserve"> for inter-band CA is </w:t>
      </w:r>
      <w:r>
        <w:rPr>
          <w:rFonts w:hint="eastAsia" w:eastAsia="宋体"/>
          <w:lang w:val="en-US" w:eastAsia="zh-CN"/>
        </w:rPr>
        <w:t>conducted</w:t>
      </w:r>
      <w:r>
        <w:rPr>
          <w:lang w:val="en-US"/>
        </w:rPr>
        <w:t xml:space="preserve"> by the following UE capabilities </w:t>
      </w:r>
      <w:r>
        <w:rPr>
          <w:rFonts w:hint="eastAsia" w:eastAsia="宋体"/>
          <w:lang w:val="en-US" w:eastAsia="zh-CN"/>
        </w:rPr>
        <w:t>respectively</w:t>
      </w:r>
      <w:r>
        <w:rPr>
          <w:lang w:val="en-US"/>
        </w:rPr>
        <w:t xml:space="preserve"> in TS 38.306</w:t>
      </w:r>
      <w:r>
        <w:rPr>
          <w:rFonts w:hint="eastAsia" w:eastAsia="宋体"/>
          <w:lang w:val="en-US" w:eastAsia="zh-CN"/>
        </w:rPr>
        <w:t>.</w:t>
      </w:r>
    </w:p>
    <w:tbl>
      <w:tblPr>
        <w:tblStyle w:val="18"/>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35"/>
              <w:rPr>
                <w:b/>
                <w:i/>
              </w:rPr>
            </w:pPr>
            <w:r>
              <w:rPr>
                <w:b/>
                <w:i/>
              </w:rPr>
              <w:t>parallelTxSRS-PUCCH-PUSCH</w:t>
            </w:r>
          </w:p>
          <w:p>
            <w:pPr>
              <w:pStyle w:val="35"/>
            </w:pPr>
            <w:r>
              <w:rPr>
                <w:rFonts w:cs="Arial"/>
                <w:szCs w:val="18"/>
              </w:rPr>
              <w:t>Indicates whether the UE supports parallel transmission of SRS and PUCCH/ PUSCH across CCs in an inter-band CA band combination.</w:t>
            </w:r>
          </w:p>
        </w:tc>
        <w:tc>
          <w:tcPr>
            <w:tcW w:w="709" w:type="dxa"/>
          </w:tcPr>
          <w:p>
            <w:pPr>
              <w:pStyle w:val="35"/>
              <w:jc w:val="center"/>
            </w:pPr>
            <w:r>
              <w:rPr>
                <w:rFonts w:cs="Arial"/>
                <w:szCs w:val="18"/>
              </w:rPr>
              <w:t>BC</w:t>
            </w:r>
          </w:p>
        </w:tc>
        <w:tc>
          <w:tcPr>
            <w:tcW w:w="567" w:type="dxa"/>
          </w:tcPr>
          <w:p>
            <w:pPr>
              <w:pStyle w:val="35"/>
              <w:jc w:val="center"/>
            </w:pPr>
            <w:r>
              <w:rPr>
                <w:rFonts w:cs="Arial"/>
                <w:szCs w:val="18"/>
              </w:rPr>
              <w:t>No</w:t>
            </w:r>
          </w:p>
        </w:tc>
        <w:tc>
          <w:tcPr>
            <w:tcW w:w="709" w:type="dxa"/>
          </w:tcPr>
          <w:p>
            <w:pPr>
              <w:pStyle w:val="35"/>
              <w:jc w:val="center"/>
            </w:pPr>
            <w:r>
              <w:rPr>
                <w:bCs/>
                <w:iCs/>
              </w:rPr>
              <w:t>N/A</w:t>
            </w:r>
          </w:p>
        </w:tc>
        <w:tc>
          <w:tcPr>
            <w:tcW w:w="728" w:type="dxa"/>
          </w:tcPr>
          <w:p>
            <w:pPr>
              <w:pStyle w:val="35"/>
              <w:jc w:val="center"/>
            </w:pPr>
            <w:r>
              <w:rPr>
                <w:bCs/>
                <w:iCs/>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35"/>
              <w:rPr>
                <w:b/>
                <w:i/>
              </w:rPr>
            </w:pPr>
            <w:r>
              <w:rPr>
                <w:b/>
                <w:i/>
              </w:rPr>
              <w:t>parallelTxPRACH-SRS-PUCCH-PUSCH</w:t>
            </w:r>
          </w:p>
          <w:p>
            <w:pPr>
              <w:pStyle w:val="35"/>
            </w:pPr>
            <w:r>
              <w:rPr>
                <w:rFonts w:cs="Arial"/>
                <w:szCs w:val="18"/>
              </w:rPr>
              <w:t>Indicates whether the UE supports parallel transmission of PRACH and SRS/PUCCH/PUSCH across CCs in an inter-band CA band combination.</w:t>
            </w:r>
          </w:p>
        </w:tc>
        <w:tc>
          <w:tcPr>
            <w:tcW w:w="709" w:type="dxa"/>
          </w:tcPr>
          <w:p>
            <w:pPr>
              <w:pStyle w:val="35"/>
              <w:jc w:val="center"/>
            </w:pPr>
            <w:r>
              <w:rPr>
                <w:rFonts w:cs="Arial"/>
                <w:szCs w:val="18"/>
              </w:rPr>
              <w:t>BC</w:t>
            </w:r>
          </w:p>
        </w:tc>
        <w:tc>
          <w:tcPr>
            <w:tcW w:w="567" w:type="dxa"/>
          </w:tcPr>
          <w:p>
            <w:pPr>
              <w:pStyle w:val="35"/>
              <w:jc w:val="center"/>
            </w:pPr>
            <w:r>
              <w:rPr>
                <w:rFonts w:cs="Arial"/>
                <w:szCs w:val="18"/>
              </w:rPr>
              <w:t>No</w:t>
            </w:r>
          </w:p>
        </w:tc>
        <w:tc>
          <w:tcPr>
            <w:tcW w:w="709" w:type="dxa"/>
          </w:tcPr>
          <w:p>
            <w:pPr>
              <w:pStyle w:val="35"/>
              <w:jc w:val="center"/>
            </w:pPr>
            <w:r>
              <w:rPr>
                <w:bCs/>
                <w:iCs/>
              </w:rPr>
              <w:t>N/A</w:t>
            </w:r>
          </w:p>
        </w:tc>
        <w:tc>
          <w:tcPr>
            <w:tcW w:w="728" w:type="dxa"/>
          </w:tcPr>
          <w:p>
            <w:pPr>
              <w:pStyle w:val="35"/>
              <w:jc w:val="center"/>
            </w:pPr>
            <w:r>
              <w:rPr>
                <w:bCs/>
                <w:iCs/>
              </w:rPr>
              <w:t>N/A</w:t>
            </w:r>
          </w:p>
        </w:tc>
      </w:tr>
    </w:tbl>
    <w:p>
      <w:pPr>
        <w:rPr>
          <w:rFonts w:eastAsia="宋体"/>
          <w:lang w:val="en-US" w:eastAsia="zh-CN"/>
        </w:rPr>
      </w:pPr>
      <w:r>
        <w:rPr>
          <w:rFonts w:hint="eastAsia" w:eastAsia="宋体"/>
          <w:lang w:val="en-US" w:eastAsia="zh-CN"/>
        </w:rPr>
        <w:t>Meanwhile, the UE</w:t>
      </w:r>
      <w:r>
        <w:rPr>
          <w:rFonts w:eastAsia="宋体"/>
          <w:lang w:val="en-US" w:eastAsia="zh-CN"/>
        </w:rPr>
        <w:t>’</w:t>
      </w:r>
      <w:r>
        <w:rPr>
          <w:rFonts w:hint="eastAsia" w:eastAsia="宋体"/>
          <w:lang w:val="en-US" w:eastAsia="zh-CN"/>
        </w:rPr>
        <w:t>s behaviors of above UE capabilities are also captured in TS 38.214 as shown below:</w:t>
      </w:r>
    </w:p>
    <w:tbl>
      <w:tblPr>
        <w:tblStyle w:val="19"/>
        <w:tblpPr w:leftFromText="180" w:rightFromText="180" w:vertAnchor="text" w:horzAnchor="margin" w:tblpY="1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9307" w:type="dxa"/>
          </w:tcPr>
          <w:p>
            <w:pPr>
              <w:pStyle w:val="4"/>
              <w:rPr>
                <w:color w:val="000000"/>
              </w:rPr>
            </w:pPr>
            <w:r>
              <w:rPr>
                <w:color w:val="000000"/>
              </w:rPr>
              <w:t>6.2.1</w:t>
            </w:r>
            <w:r>
              <w:rPr>
                <w:color w:val="000000"/>
              </w:rPr>
              <w:tab/>
            </w:r>
            <w:r>
              <w:rPr>
                <w:color w:val="000000"/>
              </w:rPr>
              <w:t>UE sounding procedure</w:t>
            </w:r>
          </w:p>
          <w:p>
            <w:pPr>
              <w:jc w:val="center"/>
              <w:rPr>
                <w:b/>
                <w:bCs/>
                <w:color w:val="FF0000"/>
                <w:sz w:val="24"/>
                <w:szCs w:val="24"/>
              </w:rPr>
            </w:pPr>
            <w:r>
              <w:rPr>
                <w:b/>
                <w:bCs/>
                <w:color w:val="FF0000"/>
                <w:sz w:val="24"/>
                <w:szCs w:val="24"/>
              </w:rPr>
              <w:t>&lt;Unchanged parts are omitted&gt;</w:t>
            </w:r>
          </w:p>
          <w:p/>
          <w:p>
            <w:r>
              <w:t xml:space="preserve">In case of intra-band carrier aggregation or in inter-band CA band combination if </w:t>
            </w:r>
            <w:r>
              <w:rPr>
                <w:highlight w:val="yellow"/>
              </w:rPr>
              <w:t>simultaneous SRS and PUCCH/PUSCH transmissions</w:t>
            </w:r>
            <w:r>
              <w:t xml:space="preserve">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r>
              <w:t xml:space="preserve">In case of intra-band carrier aggregation or in inter-band CA band combination if </w:t>
            </w:r>
            <w:r>
              <w:rPr>
                <w:highlight w:val="yellow"/>
              </w:rPr>
              <w:t>simultaneous SRS and PRACH transmissions</w:t>
            </w:r>
            <w:r>
              <w:t xml:space="preserve"> are not </w:t>
            </w:r>
            <w:r>
              <w:rPr>
                <w:rFonts w:hint="eastAsia"/>
                <w:lang w:val="en-US" w:eastAsia="zh-CN"/>
              </w:rPr>
              <w:t>supported by UE</w:t>
            </w:r>
            <w:r>
              <w:t xml:space="preserve">, the UE shall not transmit simultaneously SRS resource(s) from a carrier and PRACH from a different carrier. </w:t>
            </w:r>
          </w:p>
          <w:p>
            <w:pPr>
              <w:pBdr>
                <w:bottom w:val="double" w:color="auto" w:sz="6" w:space="1"/>
              </w:pBdr>
              <w:jc w:val="center"/>
              <w:rPr>
                <w:b/>
                <w:bCs/>
                <w:color w:val="FF0000"/>
                <w:sz w:val="24"/>
                <w:szCs w:val="24"/>
              </w:rPr>
            </w:pPr>
            <w:r>
              <w:rPr>
                <w:b/>
                <w:bCs/>
                <w:color w:val="FF0000"/>
                <w:sz w:val="24"/>
                <w:szCs w:val="24"/>
              </w:rPr>
              <w:t>&lt;Unchanged parts are omitted&gt;</w:t>
            </w:r>
          </w:p>
          <w:p>
            <w:pPr>
              <w:pStyle w:val="29"/>
              <w:widowControl w:val="0"/>
              <w:numPr>
                <w:ilvl w:val="0"/>
                <w:numId w:val="3"/>
              </w:numPr>
              <w:ind w:left="738"/>
            </w:pPr>
          </w:p>
        </w:tc>
      </w:tr>
    </w:tbl>
    <w:p>
      <w:pPr>
        <w:rPr>
          <w:rFonts w:eastAsia="宋体"/>
          <w:lang w:val="en-US" w:eastAsia="zh-CN"/>
        </w:rPr>
      </w:pPr>
    </w:p>
    <w:p>
      <w:pPr>
        <w:rPr>
          <w:rFonts w:eastAsia="宋体"/>
          <w:lang w:val="en-US" w:eastAsia="zh-CN"/>
        </w:rPr>
      </w:pPr>
      <w:r>
        <w:rPr>
          <w:rFonts w:hint="eastAsia" w:eastAsia="宋体"/>
          <w:lang w:val="en-US" w:eastAsia="zh-CN"/>
        </w:rPr>
        <w:t>In Rel-16, a similar UE capability is introduced for parallel transmission of MsgA and other channels in TS 38.306</w:t>
      </w:r>
    </w:p>
    <w:tbl>
      <w:tblPr>
        <w:tblStyle w:val="18"/>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35"/>
              <w:rPr>
                <w:b/>
                <w:i/>
                <w:highlight w:val="yellow"/>
              </w:rPr>
            </w:pPr>
            <w:bookmarkStart w:id="2" w:name="OLE_LINK12"/>
            <w:r>
              <w:rPr>
                <w:b/>
                <w:i/>
                <w:highlight w:val="yellow"/>
              </w:rPr>
              <w:t>parallelTxMsgA-SRS-PUCCH-PUSCH-r16</w:t>
            </w:r>
          </w:p>
          <w:p>
            <w:pPr>
              <w:pStyle w:val="35"/>
              <w:rPr>
                <w:rFonts w:cs="Arial"/>
                <w:szCs w:val="18"/>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bookmarkEnd w:id="2"/>
          </w:p>
        </w:tc>
        <w:tc>
          <w:tcPr>
            <w:tcW w:w="709" w:type="dxa"/>
          </w:tcPr>
          <w:p>
            <w:pPr>
              <w:pStyle w:val="35"/>
              <w:jc w:val="center"/>
              <w:rPr>
                <w:rFonts w:cs="Arial"/>
                <w:szCs w:val="18"/>
              </w:rPr>
            </w:pPr>
            <w:r>
              <w:rPr>
                <w:rFonts w:cs="Arial"/>
                <w:szCs w:val="18"/>
              </w:rPr>
              <w:t>BC</w:t>
            </w:r>
          </w:p>
        </w:tc>
        <w:tc>
          <w:tcPr>
            <w:tcW w:w="567" w:type="dxa"/>
          </w:tcPr>
          <w:p>
            <w:pPr>
              <w:pStyle w:val="35"/>
              <w:jc w:val="center"/>
              <w:rPr>
                <w:rFonts w:cs="Arial"/>
                <w:szCs w:val="18"/>
              </w:rPr>
            </w:pPr>
            <w:r>
              <w:rPr>
                <w:rFonts w:cs="Arial"/>
                <w:szCs w:val="18"/>
              </w:rPr>
              <w:t>No</w:t>
            </w:r>
          </w:p>
        </w:tc>
        <w:tc>
          <w:tcPr>
            <w:tcW w:w="709" w:type="dxa"/>
          </w:tcPr>
          <w:p>
            <w:pPr>
              <w:pStyle w:val="35"/>
              <w:jc w:val="center"/>
              <w:rPr>
                <w:bCs/>
                <w:iCs/>
              </w:rPr>
            </w:pPr>
            <w:r>
              <w:rPr>
                <w:bCs/>
                <w:iCs/>
              </w:rPr>
              <w:t>N/A</w:t>
            </w:r>
          </w:p>
        </w:tc>
        <w:tc>
          <w:tcPr>
            <w:tcW w:w="728" w:type="dxa"/>
          </w:tcPr>
          <w:p>
            <w:pPr>
              <w:pStyle w:val="35"/>
              <w:jc w:val="center"/>
              <w:rPr>
                <w:bCs/>
                <w:iCs/>
              </w:rPr>
            </w:pPr>
            <w:r>
              <w:rPr>
                <w:bCs/>
                <w:iCs/>
              </w:rPr>
              <w:t>N/A</w:t>
            </w:r>
          </w:p>
        </w:tc>
      </w:tr>
    </w:tbl>
    <w:p>
      <w:pPr>
        <w:rPr>
          <w:rFonts w:eastAsia="宋体"/>
          <w:lang w:val="en-US" w:eastAsia="zh-CN"/>
        </w:rPr>
      </w:pPr>
      <w:r>
        <w:rPr>
          <w:rFonts w:hint="eastAsia" w:eastAsia="宋体"/>
          <w:lang w:val="en-US" w:eastAsia="zh-CN"/>
        </w:rPr>
        <w:t>However, although such UE capability is similar as previous ones, the corresponding UE</w:t>
      </w:r>
      <w:r>
        <w:rPr>
          <w:rFonts w:eastAsia="宋体"/>
          <w:lang w:val="en-US" w:eastAsia="zh-CN"/>
        </w:rPr>
        <w:t>’</w:t>
      </w:r>
      <w:r>
        <w:rPr>
          <w:rFonts w:hint="eastAsia" w:eastAsia="宋体"/>
          <w:lang w:val="en-US" w:eastAsia="zh-CN"/>
        </w:rPr>
        <w:t xml:space="preserve">s behaviors are not reflected in TS 38.214, so the draft CR shown below is to capture the following changes in TS 38.214 </w:t>
      </w:r>
      <w:r>
        <w:rPr>
          <w:rFonts w:hint="eastAsia" w:eastAsia="宋体"/>
          <w:highlight w:val="yellow"/>
          <w:lang w:val="en-US" w:eastAsia="zh-CN"/>
        </w:rPr>
        <w:t>v16.10.0</w:t>
      </w:r>
      <w:r>
        <w:rPr>
          <w:rFonts w:hint="eastAsia" w:eastAsia="宋体"/>
          <w:lang w:val="en-US" w:eastAsia="zh-CN"/>
        </w:rPr>
        <w:t xml:space="preserve"> to avoid potential ambiguity on UE</w:t>
      </w:r>
      <w:r>
        <w:rPr>
          <w:rFonts w:eastAsia="宋体"/>
          <w:lang w:val="en-US" w:eastAsia="zh-CN"/>
        </w:rPr>
        <w:t>’</w:t>
      </w:r>
      <w:r>
        <w:rPr>
          <w:rFonts w:hint="eastAsia" w:eastAsia="宋体"/>
          <w:lang w:val="en-US" w:eastAsia="zh-CN"/>
        </w:rPr>
        <w:t>s behavior.</w:t>
      </w:r>
    </w:p>
    <w:tbl>
      <w:tblPr>
        <w:tblStyle w:val="19"/>
        <w:tblpPr w:leftFromText="180" w:rightFromText="180" w:vertAnchor="text" w:horzAnchor="margin" w:tblpY="1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2" w:hRule="atLeast"/>
        </w:trPr>
        <w:tc>
          <w:tcPr>
            <w:tcW w:w="9307" w:type="dxa"/>
          </w:tcPr>
          <w:p>
            <w:pPr>
              <w:pStyle w:val="4"/>
              <w:rPr>
                <w:color w:val="000000"/>
              </w:rPr>
            </w:pPr>
          </w:p>
          <w:p>
            <w:pPr>
              <w:pStyle w:val="4"/>
              <w:rPr>
                <w:color w:val="000000"/>
              </w:rPr>
            </w:pPr>
            <w:r>
              <w:rPr>
                <w:color w:val="000000"/>
              </w:rPr>
              <w:t>6.2.1</w:t>
            </w:r>
            <w:r>
              <w:rPr>
                <w:color w:val="000000"/>
              </w:rPr>
              <w:tab/>
            </w:r>
            <w:r>
              <w:rPr>
                <w:color w:val="000000"/>
              </w:rPr>
              <w:t>UE sounding procedure</w:t>
            </w:r>
          </w:p>
          <w:p>
            <w:pPr>
              <w:jc w:val="center"/>
              <w:rPr>
                <w:b/>
                <w:bCs/>
                <w:color w:val="FF0000"/>
                <w:sz w:val="24"/>
                <w:szCs w:val="24"/>
              </w:rPr>
            </w:pPr>
            <w:r>
              <w:rPr>
                <w:b/>
                <w:bCs/>
                <w:color w:val="FF0000"/>
                <w:sz w:val="24"/>
                <w:szCs w:val="24"/>
              </w:rPr>
              <w:t>&lt;Unchanged parts are omitted&gt;</w:t>
            </w:r>
          </w:p>
          <w:p/>
          <w:p>
            <w:r>
              <w:t xml:space="preserve">In case of intra-band carrier aggregation or in inter-band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r>
              <w:t>In case of intra-band carrier aggregation or in inter-band CA band combination if simultaneous SRS and PRACH</w:t>
            </w:r>
            <w:r>
              <w:rPr>
                <w:rFonts w:hint="eastAsia" w:eastAsia="宋体"/>
                <w:color w:val="FF0000"/>
                <w:lang w:val="en-US" w:eastAsia="zh-CN"/>
              </w:rPr>
              <w:t>/MsgA PUSCH</w:t>
            </w:r>
            <w:r>
              <w:t xml:space="preserve"> transmissions are not </w:t>
            </w:r>
            <w:r>
              <w:rPr>
                <w:rFonts w:hint="eastAsia"/>
                <w:lang w:val="en-US" w:eastAsia="zh-CN"/>
              </w:rPr>
              <w:t>supported by UE</w:t>
            </w:r>
            <w:r>
              <w:t>, the UE shall not transmit simultaneously SRS resource(s) from a carrier and PRACH</w:t>
            </w:r>
            <w:r>
              <w:rPr>
                <w:rFonts w:hint="eastAsia" w:eastAsia="宋体"/>
                <w:color w:val="FF0000"/>
                <w:lang w:val="en-US" w:eastAsia="zh-CN"/>
              </w:rPr>
              <w:t>/MsgA PUSCH</w:t>
            </w:r>
            <w:r>
              <w:t xml:space="preserve"> from a different carrier. </w:t>
            </w:r>
          </w:p>
          <w:p>
            <w:pPr>
              <w:pBdr>
                <w:bottom w:val="double" w:color="auto" w:sz="6" w:space="1"/>
              </w:pBdr>
              <w:jc w:val="center"/>
              <w:rPr>
                <w:b/>
                <w:bCs/>
                <w:color w:val="FF0000"/>
                <w:sz w:val="24"/>
                <w:szCs w:val="24"/>
              </w:rPr>
            </w:pPr>
            <w:r>
              <w:rPr>
                <w:b/>
                <w:bCs/>
                <w:color w:val="FF0000"/>
                <w:sz w:val="24"/>
                <w:szCs w:val="24"/>
              </w:rPr>
              <w:t>&lt;Unchanged parts are omitted&gt;</w:t>
            </w:r>
          </w:p>
          <w:p>
            <w:pPr>
              <w:pStyle w:val="29"/>
              <w:widowControl w:val="0"/>
              <w:numPr>
                <w:ilvl w:val="0"/>
                <w:numId w:val="3"/>
              </w:numPr>
              <w:ind w:left="738"/>
            </w:pPr>
          </w:p>
        </w:tc>
      </w:tr>
    </w:tbl>
    <w:p>
      <w:pPr>
        <w:rPr>
          <w:rFonts w:eastAsia="宋体"/>
          <w:lang w:val="en-US" w:eastAsia="zh-CN"/>
        </w:rPr>
      </w:pPr>
    </w:p>
    <w:p>
      <w:pPr>
        <w:rPr>
          <w:rFonts w:eastAsia="宋体"/>
          <w:lang w:val="en-US" w:eastAsia="zh-CN"/>
        </w:rPr>
      </w:pPr>
      <w:r>
        <w:rPr>
          <w:rFonts w:hint="eastAsia" w:eastAsia="宋体"/>
          <w:lang w:val="en-US" w:eastAsia="zh-CN"/>
        </w:rPr>
        <w:t>Any comments on the draft CR?</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tabs>
                <w:tab w:val="left" w:pos="999"/>
              </w:tabs>
              <w:rPr>
                <w:lang w:eastAsia="zh-CN"/>
              </w:rPr>
            </w:pPr>
            <w:r>
              <w:rPr>
                <w:lang w:eastAsia="zh-CN"/>
              </w:rPr>
              <w:t xml:space="preserve">In our understanding, for MsgA PUSCH, it can be treated in the same way as a normal </w:t>
            </w:r>
            <w:r>
              <w:rPr>
                <w:shd w:val="clear" w:color="auto" w:fill="FFFF00"/>
                <w:lang w:eastAsia="zh-CN"/>
              </w:rPr>
              <w:t>PUSCH</w:t>
            </w:r>
            <w:r>
              <w:rPr>
                <w:lang w:eastAsia="zh-CN"/>
              </w:rPr>
              <w:t xml:space="preserve"> covered in the paragraph (copied below) before the paragraph changed in the CR. Therefore, there's no need to include MsgA PUSCH as proposed by the CR.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r>
                    <w:t xml:space="preserve">In case of intra-band carrier aggregation or in inter-band CA band combination if simultaneous SRS and PUCCH/PUSCH transmissions are not </w:t>
                  </w:r>
                  <w:r>
                    <w:rPr>
                      <w:rFonts w:hint="eastAsia"/>
                      <w:lang w:val="en-US" w:eastAsia="zh-CN"/>
                    </w:rPr>
                    <w:t>supported by UE</w:t>
                  </w:r>
                  <w:r>
                    <w:t xml:space="preserve">, the UE is not expected to be indicated with a SRS transmission from a carrier and to be configured or scheduled with a </w:t>
                  </w:r>
                  <w:r>
                    <w:rPr>
                      <w:shd w:val="clear" w:color="auto" w:fill="FFFF00"/>
                    </w:rPr>
                    <w:t>PUSCH</w:t>
                  </w:r>
                  <w:r>
                    <w:t>/UL DM-RS/UL PT-RS/PUCCH transmission from a different carrier in the same symbol.</w:t>
                  </w:r>
                </w:p>
              </w:tc>
            </w:tr>
          </w:tbl>
          <w:p>
            <w:pPr>
              <w:widowControl w:val="0"/>
              <w:tabs>
                <w:tab w:val="left" w:pos="999"/>
              </w:tabs>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share similar view as vivo that MsgA PUSCH is already covered by PUSCH in the first paragraph. The CR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val="en-US" w:eastAsia="zh-CN"/>
              </w:rPr>
            </w:pPr>
            <w:r>
              <w:rPr>
                <w:rFonts w:hint="eastAsia"/>
                <w:lang w:val="en-US" w:eastAsia="zh-CN"/>
              </w:rPr>
              <w:t>ZTE</w:t>
            </w:r>
          </w:p>
        </w:tc>
        <w:tc>
          <w:tcPr>
            <w:tcW w:w="7611" w:type="dxa"/>
          </w:tcPr>
          <w:p>
            <w:pPr>
              <w:widowControl w:val="0"/>
              <w:rPr>
                <w:rFonts w:eastAsia="宋体"/>
                <w:lang w:val="en-US" w:eastAsia="zh-CN"/>
              </w:rPr>
            </w:pPr>
            <w:r>
              <w:rPr>
                <w:rFonts w:hint="eastAsia" w:eastAsia="宋体"/>
                <w:lang w:val="en-US" w:eastAsia="zh-CN"/>
              </w:rPr>
              <w:t>Actually, the first paragraph cannot cover the UE behavior of parallelTxMsgA-SRS-PUCCH-PUSCH-r16, because it</w:t>
            </w:r>
            <w:r>
              <w:rPr>
                <w:rFonts w:eastAsia="宋体"/>
                <w:lang w:val="en-US" w:eastAsia="zh-CN"/>
              </w:rPr>
              <w:t>’</w:t>
            </w:r>
            <w:r>
              <w:rPr>
                <w:rFonts w:hint="eastAsia" w:eastAsia="宋体"/>
                <w:lang w:val="en-US" w:eastAsia="zh-CN"/>
              </w:rPr>
              <w:t xml:space="preserve">s clearly stated that the first paragraph is on the basis of </w:t>
            </w:r>
            <w:r>
              <w:rPr>
                <w:rFonts w:eastAsia="宋体"/>
                <w:lang w:val="en-US" w:eastAsia="zh-CN"/>
              </w:rPr>
              <w:t>“</w:t>
            </w:r>
            <w:r>
              <w:t>simultaneous SRS and PUCCH/PUSCH transmissions</w:t>
            </w:r>
            <w:r>
              <w:rPr>
                <w:rFonts w:eastAsia="宋体"/>
                <w:lang w:val="en-US" w:eastAsia="zh-CN"/>
              </w:rPr>
              <w:t>”</w:t>
            </w:r>
            <w:r>
              <w:rPr>
                <w:rFonts w:hint="eastAsia" w:eastAsia="宋体"/>
                <w:lang w:val="en-US" w:eastAsia="zh-CN"/>
              </w:rPr>
              <w:t xml:space="preserve"> instead of  </w:t>
            </w:r>
            <w:r>
              <w:rPr>
                <w:rFonts w:eastAsia="宋体"/>
                <w:lang w:val="en-US" w:eastAsia="zh-CN"/>
              </w:rPr>
              <w:t>“</w:t>
            </w:r>
            <w:r>
              <w:t xml:space="preserve">simultaneous </w:t>
            </w:r>
            <w:r>
              <w:rPr>
                <w:rFonts w:hint="eastAsia" w:eastAsia="宋体"/>
                <w:lang w:val="en-US" w:eastAsia="zh-CN"/>
              </w:rPr>
              <w:t>MsgA</w:t>
            </w:r>
            <w:r>
              <w:t xml:space="preserve"> and </w:t>
            </w:r>
            <w:r>
              <w:rPr>
                <w:rFonts w:hint="eastAsia" w:eastAsia="宋体"/>
                <w:lang w:val="en-US" w:eastAsia="zh-CN"/>
              </w:rPr>
              <w:t>SRS/</w:t>
            </w:r>
            <w:r>
              <w:t>PUCCH/PUSCH transmissions</w:t>
            </w:r>
            <w:r>
              <w:rPr>
                <w:rFonts w:eastAsia="宋体"/>
                <w:lang w:val="en-US" w:eastAsia="zh-CN"/>
              </w:rPr>
              <w:t>”</w:t>
            </w:r>
            <w:r>
              <w:rPr>
                <w:rFonts w:hint="eastAsia" w:eastAsia="宋体"/>
                <w:lang w:val="en-US" w:eastAsia="zh-CN"/>
              </w:rPr>
              <w:t>.</w:t>
            </w:r>
          </w:p>
          <w:p>
            <w:pPr>
              <w:widowControl w:val="0"/>
              <w:rPr>
                <w:rFonts w:eastAsia="宋体"/>
                <w:lang w:val="en-US" w:eastAsia="zh-CN"/>
              </w:rPr>
            </w:pPr>
            <w:r>
              <w:rPr>
                <w:rFonts w:hint="eastAsia" w:eastAsia="宋体"/>
                <w:lang w:val="en-US" w:eastAsia="zh-CN"/>
              </w:rPr>
              <w:t xml:space="preserve">If the </w:t>
            </w:r>
            <w:r>
              <w:rPr>
                <w:rFonts w:eastAsia="宋体"/>
                <w:lang w:val="en-US" w:eastAsia="zh-CN"/>
              </w:rPr>
              <w:t>“</w:t>
            </w:r>
            <w:r>
              <w:rPr>
                <w:rFonts w:hint="eastAsia" w:eastAsia="宋体"/>
                <w:lang w:val="en-US" w:eastAsia="zh-CN"/>
              </w:rPr>
              <w:t>PUSCH</w:t>
            </w:r>
            <w:r>
              <w:rPr>
                <w:rFonts w:eastAsia="宋体"/>
                <w:lang w:val="en-US" w:eastAsia="zh-CN"/>
              </w:rPr>
              <w:t>”</w:t>
            </w:r>
            <w:r>
              <w:rPr>
                <w:rFonts w:hint="eastAsia" w:eastAsia="宋体"/>
                <w:lang w:val="en-US" w:eastAsia="zh-CN"/>
              </w:rPr>
              <w:t xml:space="preserve"> cited by vivo includes MsgA PUSCH, then this paragraph is not correct, since even if UE doesn</w:t>
            </w:r>
            <w:r>
              <w:rPr>
                <w:rFonts w:eastAsia="宋体"/>
                <w:lang w:val="en-US" w:eastAsia="zh-CN"/>
              </w:rPr>
              <w:t>’</w:t>
            </w:r>
            <w:r>
              <w:rPr>
                <w:rFonts w:hint="eastAsia" w:eastAsia="宋体"/>
                <w:lang w:val="en-US" w:eastAsia="zh-CN"/>
              </w:rPr>
              <w:t>t support parallelTxSRS-PUCCH-PUSCH, if UE supports parallelTxMsgA-SRS-PUCCH-PUSCH-r16, UE can transmit MsgA PUSCH on a carrier and SRS on a different carrier.</w:t>
            </w:r>
          </w:p>
          <w:p>
            <w:pPr>
              <w:widowControl w:val="0"/>
              <w:rPr>
                <w:rFonts w:eastAsia="宋体"/>
                <w:lang w:val="en-US" w:eastAsia="zh-CN"/>
              </w:rPr>
            </w:pPr>
            <w:r>
              <w:rPr>
                <w:rFonts w:hint="eastAsia" w:eastAsia="宋体"/>
                <w:lang w:val="en-US" w:eastAsia="zh-CN"/>
              </w:rPr>
              <w:t>Therefore, MsgA PUSCH can not be treated in the same way as a normal PUSCH and the Rel-16 UE capability should be captured in 214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val="en-US" w:eastAsia="zh-CN"/>
              </w:rPr>
            </w:pPr>
            <w:r>
              <w:rPr>
                <w:lang w:val="en-US" w:eastAsia="zh-CN"/>
              </w:rPr>
              <w:t>Qualcomm</w:t>
            </w:r>
          </w:p>
        </w:tc>
        <w:tc>
          <w:tcPr>
            <w:tcW w:w="7611" w:type="dxa"/>
          </w:tcPr>
          <w:p>
            <w:pPr>
              <w:widowControl w:val="0"/>
              <w:rPr>
                <w:rFonts w:eastAsia="宋体"/>
                <w:lang w:val="en-US" w:eastAsia="zh-CN"/>
              </w:rPr>
            </w:pPr>
            <w:r>
              <w:rPr>
                <w:rFonts w:eastAsia="宋体"/>
                <w:lang w:val="en-US" w:eastAsia="zh-CN"/>
              </w:rPr>
              <w:t xml:space="preserve">We agree with the comments of vivo and Intel. </w:t>
            </w:r>
          </w:p>
          <w:p>
            <w:pPr>
              <w:widowControl w:val="0"/>
              <w:rPr>
                <w:rFonts w:eastAsia="宋体"/>
                <w:lang w:val="en-US" w:eastAsia="zh-CN"/>
              </w:rPr>
            </w:pPr>
            <w:r>
              <w:rPr>
                <w:rFonts w:eastAsia="宋体"/>
                <w:lang w:val="en-US" w:eastAsia="zh-CN"/>
              </w:rPr>
              <w:t>We can live with the proposal of ZTE, if it is the majority view of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asciiTheme="minorEastAsia" w:hAnsiTheme="minorEastAsia" w:eastAsiaTheme="minorEastAsia"/>
                <w:lang w:eastAsia="zh-CN"/>
              </w:rPr>
              <w:t>Samsung</w:t>
            </w:r>
            <w:r>
              <w:rPr>
                <w:lang w:eastAsia="zh-CN"/>
              </w:rPr>
              <w:t xml:space="preserve"> </w:t>
            </w:r>
          </w:p>
        </w:tc>
        <w:tc>
          <w:tcPr>
            <w:tcW w:w="7611" w:type="dxa"/>
          </w:tcPr>
          <w:p>
            <w:pPr>
              <w:widowControl w:val="0"/>
              <w:rPr>
                <w:rFonts w:eastAsia="宋体"/>
                <w:lang w:val="en-US" w:eastAsia="zh-CN"/>
              </w:rPr>
            </w:pPr>
            <w:r>
              <w:rPr>
                <w:rFonts w:eastAsia="宋体"/>
                <w:lang w:val="en-US" w:eastAsia="zh-CN"/>
              </w:rPr>
              <w:t xml:space="preserve">Technically, we share the intention of ZTE, since the MsgA PUSCH is more like PRACH from TA perspective, e.g., both of two channels use zero TA. </w:t>
            </w:r>
          </w:p>
          <w:p>
            <w:pPr>
              <w:widowControl w:val="0"/>
              <w:rPr>
                <w:rFonts w:eastAsia="宋体"/>
                <w:lang w:val="en-US" w:eastAsia="zh-CN"/>
              </w:rPr>
            </w:pPr>
            <w:r>
              <w:rPr>
                <w:rFonts w:eastAsia="宋体"/>
                <w:lang w:val="en-US" w:eastAsia="zh-CN"/>
              </w:rPr>
              <w:t xml:space="preserve">However, for the CR perspective, this has been implemented long time ago for 2step RACH feature, I wonder what have been done is already been done, e.g., using the behavior in the first paragraph.  So we don’t think there is a necessity to adopt this CR.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asciiTheme="minorEastAsia" w:hAnsiTheme="minorEastAsia" w:eastAsiaTheme="minorEastAsia"/>
                <w:lang w:val="en-US" w:eastAsia="zh-CN"/>
              </w:rPr>
            </w:pPr>
            <w:r>
              <w:rPr>
                <w:rFonts w:asciiTheme="minorEastAsia" w:hAnsiTheme="minorEastAsia" w:eastAsiaTheme="minorEastAsia"/>
                <w:lang w:eastAsia="zh-CN"/>
              </w:rPr>
              <w:t>Ericsson</w:t>
            </w:r>
          </w:p>
        </w:tc>
        <w:tc>
          <w:tcPr>
            <w:tcW w:w="7611" w:type="dxa"/>
          </w:tcPr>
          <w:p>
            <w:pPr>
              <w:widowControl w:val="0"/>
              <w:rPr>
                <w:rFonts w:eastAsia="宋体"/>
                <w:lang w:val="en-US" w:eastAsia="zh-CN"/>
              </w:rPr>
            </w:pPr>
            <w:r>
              <w:rPr>
                <w:rFonts w:eastAsia="宋体"/>
                <w:lang w:val="en-US" w:eastAsia="zh-CN"/>
              </w:rPr>
              <w:t>We generally support the CR.</w:t>
            </w:r>
          </w:p>
          <w:p>
            <w:pPr>
              <w:widowControl w:val="0"/>
              <w:rPr>
                <w:rFonts w:eastAsia="宋体"/>
                <w:lang w:val="en-US" w:eastAsia="zh-CN"/>
              </w:rPr>
            </w:pPr>
            <w:r>
              <w:rPr>
                <w:rFonts w:eastAsia="宋体"/>
                <w:lang w:val="en-US" w:eastAsia="zh-CN"/>
              </w:rPr>
              <w:t>The new text ‘</w:t>
            </w:r>
            <w:r>
              <w:rPr>
                <w:rFonts w:hint="eastAsia" w:eastAsia="宋体"/>
                <w:lang w:val="en-US" w:eastAsia="zh-CN"/>
              </w:rPr>
              <w:t>/MsgA PUSCH</w:t>
            </w:r>
            <w:r>
              <w:rPr>
                <w:rFonts w:eastAsia="宋体"/>
                <w:lang w:val="en-US" w:eastAsia="zh-CN"/>
              </w:rPr>
              <w:t>’ can be replaced with ‘/MsgA’ so that it better reflects the new UE capability, parallelTxMsgA-SRS-PUCCH-PUSCH-r16.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asciiTheme="minorEastAsia" w:hAnsiTheme="minorEastAsia" w:eastAsiaTheme="minorEastAsia"/>
                <w:lang w:eastAsia="zh-CN"/>
              </w:rPr>
            </w:pPr>
            <w:r>
              <w:rPr>
                <w:rFonts w:asciiTheme="minorEastAsia" w:hAnsiTheme="minorEastAsia" w:eastAsiaTheme="minorEastAsia"/>
                <w:lang w:eastAsia="zh-CN"/>
              </w:rPr>
              <w:t>Nokia, Nokia Shanghai Bell</w:t>
            </w:r>
          </w:p>
        </w:tc>
        <w:tc>
          <w:tcPr>
            <w:tcW w:w="7611" w:type="dxa"/>
          </w:tcPr>
          <w:p>
            <w:pPr>
              <w:widowControl w:val="0"/>
              <w:rPr>
                <w:rFonts w:eastAsia="宋体"/>
                <w:lang w:val="en-US" w:eastAsia="zh-CN"/>
              </w:rPr>
            </w:pPr>
            <w:r>
              <w:rPr>
                <w:rFonts w:eastAsia="宋体"/>
                <w:lang w:val="en-US" w:eastAsia="zh-CN"/>
              </w:rPr>
              <w:t>In general we support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asciiTheme="minorEastAsia" w:hAnsiTheme="minorEastAsia" w:eastAsiaTheme="minorEastAsia"/>
                <w:lang w:eastAsia="zh-CN"/>
              </w:rPr>
            </w:pPr>
            <w:r>
              <w:rPr>
                <w:rFonts w:hint="eastAsia" w:asciiTheme="minorEastAsia" w:hAnsiTheme="minorEastAsia" w:eastAsiaTheme="minorEastAsia"/>
                <w:lang w:eastAsia="zh-CN"/>
              </w:rPr>
              <w:t>H</w:t>
            </w:r>
            <w:r>
              <w:rPr>
                <w:rFonts w:asciiTheme="minorEastAsia" w:hAnsiTheme="minorEastAsia" w:eastAsiaTheme="minorEastAsia"/>
                <w:lang w:eastAsia="zh-CN"/>
              </w:rPr>
              <w:t>uawei. HiSilicon</w:t>
            </w:r>
          </w:p>
        </w:tc>
        <w:tc>
          <w:tcPr>
            <w:tcW w:w="7611" w:type="dxa"/>
          </w:tcPr>
          <w:p>
            <w:pPr>
              <w:widowControl w:val="0"/>
              <w:rPr>
                <w:rFonts w:eastAsia="宋体"/>
                <w:lang w:val="en-US" w:eastAsia="zh-CN"/>
              </w:rPr>
            </w:pPr>
            <w:r>
              <w:rPr>
                <w:rFonts w:eastAsia="宋体"/>
                <w:lang w:val="en-US" w:eastAsia="zh-CN"/>
              </w:rPr>
              <w:t>Fro</w:t>
            </w:r>
            <w:r>
              <w:rPr>
                <w:rFonts w:hint="eastAsia" w:eastAsia="宋体"/>
                <w:lang w:val="en-US" w:eastAsia="zh-CN"/>
              </w:rPr>
              <w:t>m</w:t>
            </w:r>
            <w:r>
              <w:rPr>
                <w:rFonts w:eastAsia="宋体"/>
                <w:lang w:val="en-US" w:eastAsia="zh-CN"/>
              </w:rPr>
              <w:t xml:space="preserve"> specification point of view, we agree with what ZTE said.</w:t>
            </w:r>
          </w:p>
          <w:p>
            <w:pPr>
              <w:widowControl w:val="0"/>
              <w:rPr>
                <w:rFonts w:hint="eastAsia" w:eastAsia="宋体"/>
                <w:lang w:val="en-US" w:eastAsia="zh-CN"/>
              </w:rPr>
            </w:pPr>
            <w:r>
              <w:rPr>
                <w:rFonts w:eastAsia="宋体"/>
                <w:lang w:val="en-US" w:eastAsia="zh-CN"/>
              </w:rPr>
              <w:t xml:space="preserve">However from implementation point of view, we see it is not consistent if a UE does not support </w:t>
            </w:r>
            <w:r>
              <w:rPr>
                <w:rFonts w:hint="eastAsia" w:eastAsia="宋体"/>
                <w:lang w:val="en-US" w:eastAsia="zh-CN"/>
              </w:rPr>
              <w:t>parallelTxSRS-PUCCH-PUSCH</w:t>
            </w:r>
            <w:r>
              <w:rPr>
                <w:rFonts w:eastAsia="宋体"/>
                <w:lang w:val="en-US" w:eastAsia="zh-CN"/>
              </w:rPr>
              <w:t xml:space="preserve"> while support parallelTxMsgA-SRS-PUCCH-PUSCH-r16 which lead to parallel Tx of SRS and PUSCH which is not capable by the UE. The later is more basic capability and if the UE does not support, we do not think the UE would be able to support the former. </w:t>
            </w:r>
          </w:p>
        </w:tc>
      </w:tr>
    </w:tbl>
    <w:p>
      <w:pPr>
        <w:rPr>
          <w:rFonts w:eastAsia="宋体"/>
          <w:lang w:val="en-US" w:eastAsia="zh-CN"/>
        </w:rPr>
      </w:pPr>
    </w:p>
    <w:p>
      <w:pPr>
        <w:rPr>
          <w:rFonts w:hint="default" w:eastAsia="宋体"/>
          <w:b/>
          <w:bCs/>
          <w:lang w:val="en-US" w:eastAsia="zh-CN"/>
        </w:rPr>
      </w:pPr>
    </w:p>
    <w:p>
      <w:pPr>
        <w:keepNext/>
        <w:keepLines/>
        <w:numPr>
          <w:ilvl w:val="0"/>
          <w:numId w:val="2"/>
        </w:numPr>
        <w:pBdr>
          <w:top w:val="single" w:color="auto" w:sz="12" w:space="3"/>
        </w:pBdr>
        <w:tabs>
          <w:tab w:val="left" w:pos="720"/>
        </w:tabs>
        <w:overflowPunct w:val="0"/>
        <w:autoSpaceDE w:val="0"/>
        <w:autoSpaceDN w:val="0"/>
        <w:adjustRightInd w:val="0"/>
        <w:spacing w:before="240"/>
        <w:ind w:left="720" w:hanging="720"/>
        <w:jc w:val="both"/>
        <w:textAlignment w:val="baseline"/>
        <w:outlineLvl w:val="0"/>
        <w:rPr>
          <w:rFonts w:ascii="Arial" w:hAnsi="Arial" w:eastAsia="宋体"/>
          <w:sz w:val="36"/>
          <w:lang w:val="en-US"/>
        </w:rPr>
      </w:pPr>
      <w:r>
        <w:rPr>
          <w:rFonts w:ascii="Arial" w:hAnsi="Arial" w:eastAsia="宋体"/>
          <w:sz w:val="36"/>
          <w:lang w:val="en-US"/>
        </w:rPr>
        <w:t>Summary</w:t>
      </w:r>
    </w:p>
    <w:p>
      <w:pPr>
        <w:pStyle w:val="3"/>
        <w:numPr>
          <w:ilvl w:val="1"/>
          <w:numId w:val="2"/>
        </w:numPr>
        <w:bidi w:val="0"/>
        <w:ind w:left="1140" w:leftChars="0" w:hanging="1140" w:firstLineChars="0"/>
        <w:rPr>
          <w:rFonts w:hint="eastAsia"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Online discussion</w:t>
      </w:r>
      <w:r>
        <w:rPr>
          <w:rFonts w:hint="eastAsia" w:ascii="Times New Roman" w:hAnsi="Times New Roman" w:cs="Times New Roman"/>
          <w:b w:val="0"/>
          <w:bCs w:val="0"/>
          <w:color w:val="auto"/>
          <w:lang w:val="en-US" w:eastAsia="zh-CN"/>
        </w:rPr>
        <w:t xml:space="preserve"> proposal</w:t>
      </w:r>
    </w:p>
    <w:p>
      <w:pPr>
        <w:numPr>
          <w:numId w:val="0"/>
        </w:numPr>
        <w:ind w:leftChars="0"/>
        <w:rPr>
          <w:rFonts w:hint="eastAsia" w:eastAsia="宋体"/>
          <w:lang w:val="en-US" w:eastAsia="zh-CN"/>
        </w:rPr>
      </w:pPr>
      <w:r>
        <w:rPr>
          <w:rFonts w:hint="eastAsia" w:eastAsia="宋体"/>
          <w:lang w:val="en-US" w:eastAsia="zh-CN"/>
        </w:rPr>
        <w:t>For discussion simplicity, the FG number is added for the following 3 existing feature groups:</w:t>
      </w:r>
    </w:p>
    <w:p>
      <w:pPr>
        <w:numPr>
          <w:numId w:val="0"/>
        </w:numPr>
        <w:ind w:leftChars="0"/>
        <w:rPr>
          <w:rFonts w:hint="default" w:eastAsia="宋体"/>
          <w:lang w:val="en-US" w:eastAsia="zh-CN"/>
        </w:rPr>
      </w:pPr>
      <w:r>
        <w:rPr>
          <w:rFonts w:hint="eastAsia" w:eastAsia="宋体"/>
          <w:lang w:val="en-US" w:eastAsia="zh-CN"/>
        </w:rPr>
        <w:t>FG 4-25 parallelTxSRS-PUCCH-PUSCH    --&gt;first paragraph</w:t>
      </w:r>
    </w:p>
    <w:p>
      <w:pPr>
        <w:numPr>
          <w:numId w:val="0"/>
        </w:numPr>
        <w:ind w:leftChars="0"/>
        <w:rPr>
          <w:rFonts w:hint="default" w:eastAsia="宋体"/>
          <w:lang w:val="en-US" w:eastAsia="zh-CN"/>
        </w:rPr>
      </w:pPr>
      <w:r>
        <w:rPr>
          <w:rFonts w:hint="eastAsia" w:eastAsia="宋体"/>
          <w:lang w:val="en-US" w:eastAsia="zh-CN"/>
        </w:rPr>
        <w:t>FG 4-46 parallelTxPRACH-SRS-PUCCH-PUSCH    --&gt;second paragraph</w:t>
      </w:r>
    </w:p>
    <w:p>
      <w:pPr>
        <w:numPr>
          <w:numId w:val="0"/>
        </w:numPr>
        <w:ind w:leftChars="0"/>
        <w:rPr>
          <w:rFonts w:hint="default" w:eastAsia="宋体"/>
          <w:lang w:val="en-US" w:eastAsia="zh-CN"/>
        </w:rPr>
      </w:pPr>
      <w:r>
        <w:rPr>
          <w:rFonts w:hint="eastAsia" w:eastAsia="宋体"/>
          <w:lang w:val="en-US" w:eastAsia="zh-CN"/>
        </w:rPr>
        <w:t>FG 9-3 parallelTxMsgA-SRS-PUCCH-PUSCH-r16    --&gt;not reflected in TS 38.214 ever</w:t>
      </w:r>
    </w:p>
    <w:p>
      <w:pPr>
        <w:rPr>
          <w:rFonts w:hint="eastAsia" w:eastAsia="宋体"/>
          <w:lang w:val="en-US" w:eastAsia="zh-CN"/>
        </w:rPr>
      </w:pPr>
      <w:r>
        <w:rPr>
          <w:rFonts w:hint="eastAsia" w:eastAsia="宋体"/>
          <w:lang w:val="en-US" w:eastAsia="zh-CN"/>
        </w:rPr>
        <w:t>Based on companies</w:t>
      </w:r>
      <w:r>
        <w:rPr>
          <w:rFonts w:hint="default" w:eastAsia="宋体"/>
          <w:lang w:val="en-US" w:eastAsia="zh-CN"/>
        </w:rPr>
        <w:t>’</w:t>
      </w:r>
      <w:r>
        <w:rPr>
          <w:rFonts w:hint="eastAsia" w:eastAsia="宋体"/>
          <w:lang w:val="en-US" w:eastAsia="zh-CN"/>
        </w:rPr>
        <w:t xml:space="preserve"> feedback, 5 of 8 companies can live with this CR while 3 companies think MsgA related UE capability can be covered by first paragraph for FG 4-25, and CR is not needed. </w:t>
      </w:r>
    </w:p>
    <w:p>
      <w:pPr>
        <w:rPr>
          <w:rFonts w:hint="eastAsia" w:eastAsia="宋体"/>
          <w:lang w:val="en-US" w:eastAsia="zh-CN"/>
        </w:rPr>
      </w:pPr>
      <w:r>
        <w:rPr>
          <w:rFonts w:hint="eastAsia" w:eastAsia="宋体"/>
          <w:lang w:val="en-US" w:eastAsia="zh-CN"/>
        </w:rPr>
        <w:t xml:space="preserve">Ericsson suggests to change MsgA PUSCH to MsgA, since it better reflects the Rel-16 UE capability. </w:t>
      </w:r>
    </w:p>
    <w:p>
      <w:pPr>
        <w:rPr>
          <w:rFonts w:hint="default" w:eastAsia="宋体"/>
          <w:lang w:val="en-US" w:eastAsia="zh-CN"/>
        </w:rPr>
      </w:pPr>
      <w:r>
        <w:rPr>
          <w:rFonts w:hint="eastAsia" w:eastAsia="宋体"/>
          <w:lang w:val="en-US" w:eastAsia="zh-CN"/>
        </w:rPr>
        <w:t>For Huawei</w:t>
      </w:r>
      <w:r>
        <w:rPr>
          <w:rFonts w:hint="default" w:eastAsia="宋体"/>
          <w:lang w:val="en-US" w:eastAsia="zh-CN"/>
        </w:rPr>
        <w:t>’</w:t>
      </w:r>
      <w:r>
        <w:rPr>
          <w:rFonts w:hint="eastAsia" w:eastAsia="宋体"/>
          <w:lang w:val="en-US" w:eastAsia="zh-CN"/>
        </w:rPr>
        <w:t>s statement that FG 4-25</w:t>
      </w:r>
      <w:r>
        <w:rPr>
          <w:rFonts w:eastAsia="宋体"/>
          <w:lang w:val="en-US" w:eastAsia="zh-CN"/>
        </w:rPr>
        <w:t xml:space="preserve"> </w:t>
      </w:r>
      <w:r>
        <w:rPr>
          <w:rFonts w:hint="eastAsia" w:eastAsia="宋体"/>
          <w:lang w:val="en-US" w:eastAsia="zh-CN"/>
        </w:rPr>
        <w:t>is a more basic capability of</w:t>
      </w:r>
      <w:r>
        <w:rPr>
          <w:rFonts w:eastAsia="宋体"/>
          <w:lang w:val="en-US" w:eastAsia="zh-CN"/>
        </w:rPr>
        <w:t xml:space="preserve"> </w:t>
      </w:r>
      <w:r>
        <w:rPr>
          <w:rFonts w:hint="eastAsia" w:eastAsia="宋体"/>
          <w:lang w:val="en-US" w:eastAsia="zh-CN"/>
        </w:rPr>
        <w:t>FG 9-3, actually, the prerequisite FG of FG 9-3 is FG 4-26 parallelTxPRACH-SRS-PUCCH-PUSCH, there is no dependencies for FG 4-25 and FG 9-3.</w:t>
      </w:r>
    </w:p>
    <w:p>
      <w:pPr>
        <w:rPr>
          <w:rFonts w:hint="eastAsia" w:eastAsia="宋体"/>
          <w:lang w:val="en-US" w:eastAsia="zh-CN"/>
        </w:rPr>
      </w:pPr>
      <w:r>
        <w:rPr>
          <w:rFonts w:hint="eastAsia" w:eastAsia="宋体"/>
          <w:lang w:val="en-US" w:eastAsia="zh-CN"/>
        </w:rPr>
        <w:t>In the following, Moderator lists the original CR and CR from Ericsson for online discussion</w:t>
      </w:r>
    </w:p>
    <w:p>
      <w:pPr>
        <w:rPr>
          <w:rFonts w:hint="default" w:eastAsia="宋体"/>
          <w:b/>
          <w:bCs/>
          <w:highlight w:val="yellow"/>
          <w:lang w:val="en-US" w:eastAsia="zh-CN"/>
        </w:rPr>
      </w:pPr>
      <w:r>
        <w:rPr>
          <w:rFonts w:hint="eastAsia" w:eastAsia="宋体"/>
          <w:b/>
          <w:bCs/>
          <w:highlight w:val="yellow"/>
          <w:lang w:val="en-US" w:eastAsia="zh-CN"/>
        </w:rPr>
        <w:t>Original CR in R1-2206089</w:t>
      </w:r>
    </w:p>
    <w:tbl>
      <w:tblPr>
        <w:tblStyle w:val="19"/>
        <w:tblpPr w:leftFromText="180" w:rightFromText="180" w:vertAnchor="text" w:horzAnchor="margin" w:tblpY="1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2" w:hRule="atLeast"/>
        </w:trPr>
        <w:tc>
          <w:tcPr>
            <w:tcW w:w="9307" w:type="dxa"/>
          </w:tcPr>
          <w:p>
            <w:pPr>
              <w:pStyle w:val="4"/>
              <w:rPr>
                <w:color w:val="000000"/>
              </w:rPr>
            </w:pPr>
          </w:p>
          <w:p>
            <w:pPr>
              <w:pStyle w:val="4"/>
              <w:rPr>
                <w:color w:val="000000"/>
              </w:rPr>
            </w:pPr>
            <w:r>
              <w:rPr>
                <w:color w:val="000000"/>
              </w:rPr>
              <w:t>6.2.1</w:t>
            </w:r>
            <w:r>
              <w:rPr>
                <w:color w:val="000000"/>
              </w:rPr>
              <w:tab/>
            </w:r>
            <w:r>
              <w:rPr>
                <w:color w:val="000000"/>
              </w:rPr>
              <w:t>UE sounding procedure</w:t>
            </w:r>
          </w:p>
          <w:p>
            <w:pPr>
              <w:jc w:val="center"/>
              <w:rPr>
                <w:b/>
                <w:bCs/>
                <w:color w:val="FF0000"/>
                <w:sz w:val="24"/>
                <w:szCs w:val="24"/>
              </w:rPr>
            </w:pPr>
            <w:r>
              <w:rPr>
                <w:b/>
                <w:bCs/>
                <w:color w:val="FF0000"/>
                <w:sz w:val="24"/>
                <w:szCs w:val="24"/>
              </w:rPr>
              <w:t>&lt;Unchanged parts are omitted&gt;</w:t>
            </w:r>
          </w:p>
          <w:p/>
          <w:p>
            <w:r>
              <w:t xml:space="preserve">In case of intra-band carrier aggregation or in inter-band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r>
              <w:t>In case of intra-band carrier aggregation or in inter-band CA band combination if simultaneous SRS and PRACH</w:t>
            </w:r>
            <w:r>
              <w:rPr>
                <w:rFonts w:hint="eastAsia" w:eastAsia="宋体"/>
                <w:color w:val="FF0000"/>
                <w:lang w:val="en-US" w:eastAsia="zh-CN"/>
              </w:rPr>
              <w:t>/MsgA PUSCH</w:t>
            </w:r>
            <w:r>
              <w:t xml:space="preserve"> transmissions are not </w:t>
            </w:r>
            <w:r>
              <w:rPr>
                <w:rFonts w:hint="eastAsia"/>
                <w:lang w:val="en-US" w:eastAsia="zh-CN"/>
              </w:rPr>
              <w:t>supported by UE</w:t>
            </w:r>
            <w:r>
              <w:t>, the UE shall not transmit simultaneously SRS resource(s) from a carrier and PRACH</w:t>
            </w:r>
            <w:r>
              <w:rPr>
                <w:rFonts w:hint="eastAsia" w:eastAsia="宋体"/>
                <w:color w:val="FF0000"/>
                <w:lang w:val="en-US" w:eastAsia="zh-CN"/>
              </w:rPr>
              <w:t>/MsgA PUSCH</w:t>
            </w:r>
            <w:r>
              <w:t xml:space="preserve"> from a different carrier. </w:t>
            </w:r>
          </w:p>
          <w:p>
            <w:pPr>
              <w:pBdr>
                <w:bottom w:val="double" w:color="auto" w:sz="6" w:space="1"/>
              </w:pBdr>
              <w:jc w:val="center"/>
              <w:rPr>
                <w:b/>
                <w:bCs/>
                <w:color w:val="FF0000"/>
                <w:sz w:val="24"/>
                <w:szCs w:val="24"/>
              </w:rPr>
            </w:pPr>
            <w:r>
              <w:rPr>
                <w:b/>
                <w:bCs/>
                <w:color w:val="FF0000"/>
                <w:sz w:val="24"/>
                <w:szCs w:val="24"/>
              </w:rPr>
              <w:t>&lt;Unchanged parts are omitted&gt;</w:t>
            </w:r>
          </w:p>
          <w:p>
            <w:pPr>
              <w:pStyle w:val="29"/>
              <w:widowControl w:val="0"/>
              <w:numPr>
                <w:ilvl w:val="0"/>
                <w:numId w:val="3"/>
              </w:numPr>
              <w:ind w:left="738"/>
            </w:pPr>
          </w:p>
        </w:tc>
      </w:tr>
    </w:tbl>
    <w:p>
      <w:pPr>
        <w:rPr>
          <w:b/>
          <w:bCs/>
          <w:lang w:val="en-US"/>
        </w:rPr>
      </w:pPr>
    </w:p>
    <w:p>
      <w:pPr>
        <w:rPr>
          <w:rFonts w:hint="eastAsia" w:eastAsia="宋体"/>
          <w:b/>
          <w:bCs/>
          <w:highlight w:val="yellow"/>
          <w:lang w:val="en-US" w:eastAsia="zh-CN"/>
        </w:rPr>
      </w:pPr>
      <w:r>
        <w:rPr>
          <w:rFonts w:hint="eastAsia" w:eastAsia="宋体"/>
          <w:b/>
          <w:bCs/>
          <w:highlight w:val="yellow"/>
          <w:lang w:val="en-US" w:eastAsia="zh-CN"/>
        </w:rPr>
        <w:t>Revised CR from Ericsson</w:t>
      </w:r>
    </w:p>
    <w:tbl>
      <w:tblPr>
        <w:tblStyle w:val="19"/>
        <w:tblpPr w:leftFromText="180" w:rightFromText="180" w:vertAnchor="text" w:horzAnchor="margin" w:tblpY="1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9307" w:type="dxa"/>
          </w:tcPr>
          <w:p>
            <w:pPr>
              <w:pStyle w:val="4"/>
              <w:rPr>
                <w:color w:val="000000"/>
              </w:rPr>
            </w:pPr>
          </w:p>
          <w:p>
            <w:pPr>
              <w:pStyle w:val="4"/>
              <w:rPr>
                <w:color w:val="000000"/>
              </w:rPr>
            </w:pPr>
            <w:r>
              <w:rPr>
                <w:color w:val="000000"/>
              </w:rPr>
              <w:t>6.2.1</w:t>
            </w:r>
            <w:r>
              <w:rPr>
                <w:color w:val="000000"/>
              </w:rPr>
              <w:tab/>
            </w:r>
            <w:r>
              <w:rPr>
                <w:color w:val="000000"/>
              </w:rPr>
              <w:t>UE sounding procedure</w:t>
            </w:r>
          </w:p>
          <w:p>
            <w:pPr>
              <w:jc w:val="center"/>
              <w:rPr>
                <w:b/>
                <w:bCs/>
                <w:color w:val="FF0000"/>
                <w:sz w:val="24"/>
                <w:szCs w:val="24"/>
              </w:rPr>
            </w:pPr>
            <w:r>
              <w:rPr>
                <w:b/>
                <w:bCs/>
                <w:color w:val="FF0000"/>
                <w:sz w:val="24"/>
                <w:szCs w:val="24"/>
              </w:rPr>
              <w:t>&lt;Unchanged parts are omitted&gt;</w:t>
            </w:r>
          </w:p>
          <w:p/>
          <w:p>
            <w:r>
              <w:t xml:space="preserve">In case of intra-band carrier aggregation or in inter-band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r>
              <w:t>In case of intra-band carrier aggregation or in inter-band CA band combination if simultaneous SRS and PRACH</w:t>
            </w:r>
            <w:r>
              <w:rPr>
                <w:rFonts w:hint="eastAsia" w:eastAsia="宋体"/>
                <w:color w:val="FF0000"/>
                <w:lang w:val="en-US" w:eastAsia="zh-CN"/>
              </w:rPr>
              <w:t>/MsgA</w:t>
            </w:r>
            <w:r>
              <w:t xml:space="preserve"> transmissions are not </w:t>
            </w:r>
            <w:r>
              <w:rPr>
                <w:rFonts w:hint="eastAsia"/>
                <w:lang w:val="en-US" w:eastAsia="zh-CN"/>
              </w:rPr>
              <w:t>supported by UE</w:t>
            </w:r>
            <w:r>
              <w:t>, the UE shall not transmit simultaneously SRS resource(s) from a carrier and PRACH</w:t>
            </w:r>
            <w:r>
              <w:rPr>
                <w:rFonts w:hint="eastAsia" w:eastAsia="宋体"/>
                <w:color w:val="FF0000"/>
                <w:lang w:val="en-US" w:eastAsia="zh-CN"/>
              </w:rPr>
              <w:t>/MsgA</w:t>
            </w:r>
            <w:r>
              <w:t xml:space="preserve"> from a different carrier. </w:t>
            </w:r>
          </w:p>
          <w:p>
            <w:pPr>
              <w:pBdr>
                <w:bottom w:val="double" w:color="auto" w:sz="6" w:space="1"/>
              </w:pBdr>
              <w:jc w:val="center"/>
              <w:rPr>
                <w:b/>
                <w:bCs/>
                <w:color w:val="FF0000"/>
                <w:sz w:val="24"/>
                <w:szCs w:val="24"/>
              </w:rPr>
            </w:pPr>
            <w:r>
              <w:rPr>
                <w:b/>
                <w:bCs/>
                <w:color w:val="FF0000"/>
                <w:sz w:val="24"/>
                <w:szCs w:val="24"/>
              </w:rPr>
              <w:t>&lt;Unchanged parts are omitted&gt;</w:t>
            </w:r>
          </w:p>
          <w:p>
            <w:pPr>
              <w:pStyle w:val="29"/>
              <w:widowControl w:val="0"/>
              <w:numPr>
                <w:ilvl w:val="0"/>
                <w:numId w:val="3"/>
              </w:numPr>
              <w:ind w:left="738"/>
            </w:pPr>
          </w:p>
        </w:tc>
      </w:tr>
    </w:tbl>
    <w:p>
      <w:pPr>
        <w:rPr>
          <w:rFonts w:hint="default" w:eastAsia="宋体"/>
          <w:lang w:val="en-US" w:eastAsia="zh-CN"/>
        </w:rPr>
      </w:pPr>
    </w:p>
    <w:p>
      <w:pPr>
        <w:keepNext/>
        <w:keepLines/>
        <w:numPr>
          <w:ilvl w:val="0"/>
          <w:numId w:val="2"/>
        </w:numPr>
        <w:pBdr>
          <w:top w:val="single" w:color="auto" w:sz="12" w:space="3"/>
        </w:pBdr>
        <w:tabs>
          <w:tab w:val="left" w:pos="720"/>
        </w:tabs>
        <w:overflowPunct w:val="0"/>
        <w:autoSpaceDE w:val="0"/>
        <w:autoSpaceDN w:val="0"/>
        <w:adjustRightInd w:val="0"/>
        <w:spacing w:before="240"/>
        <w:ind w:left="720" w:hanging="720"/>
        <w:jc w:val="both"/>
        <w:textAlignment w:val="baseline"/>
        <w:outlineLvl w:val="0"/>
        <w:rPr>
          <w:rFonts w:ascii="Arial" w:hAnsi="Arial" w:eastAsia="宋体"/>
          <w:sz w:val="36"/>
          <w:lang w:val="en-US"/>
        </w:rPr>
      </w:pPr>
      <w:r>
        <w:rPr>
          <w:rFonts w:hint="eastAsia" w:ascii="Arial" w:hAnsi="Arial" w:eastAsia="宋体"/>
          <w:sz w:val="36"/>
          <w:lang w:val="en-US" w:eastAsia="zh-CN"/>
        </w:rPr>
        <w:t>Reference</w:t>
      </w:r>
    </w:p>
    <w:p>
      <w:pPr>
        <w:widowControl w:val="0"/>
        <w:numPr>
          <w:ilvl w:val="0"/>
          <w:numId w:val="4"/>
        </w:numPr>
        <w:rPr>
          <w:lang w:val="en-US" w:eastAsia="zh-CN"/>
        </w:rPr>
      </w:pPr>
      <w:r>
        <w:rPr>
          <w:rFonts w:hint="eastAsia"/>
          <w:lang w:val="en-US" w:eastAsia="zh-CN"/>
        </w:rPr>
        <w:t>R1-2206089 Correction o</w:t>
      </w:r>
      <w:r>
        <w:rPr>
          <w:lang w:val="en-US"/>
        </w:rPr>
        <w:t xml:space="preserve">n parallel transmission of </w:t>
      </w:r>
      <w:r>
        <w:rPr>
          <w:rFonts w:hint="eastAsia"/>
          <w:lang w:val="en-US" w:eastAsia="zh-CN"/>
        </w:rPr>
        <w:t>MsgA</w:t>
      </w:r>
      <w:r>
        <w:rPr>
          <w:lang w:val="en-US"/>
        </w:rPr>
        <w:t xml:space="preserve"> and other channels</w:t>
      </w:r>
      <w:r>
        <w:rPr>
          <w:rFonts w:hint="eastAsia"/>
          <w:lang w:val="en-US" w:eastAsia="zh-CN"/>
        </w:rPr>
        <w:t xml:space="preserve"> in TS 38.214, ZTE, Sanechips</w:t>
      </w:r>
    </w:p>
    <w:p>
      <w:pPr>
        <w:pStyle w:val="49"/>
        <w:spacing w:after="0"/>
        <w:ind w:left="100"/>
        <w:rPr>
          <w:rFonts w:eastAsia="宋体"/>
          <w:lang w:val="en-US" w:eastAsia="zh-CN"/>
        </w:rPr>
      </w:pPr>
    </w:p>
    <w:sectPr>
      <w:footerReference r:id="rId4" w:type="default"/>
      <w:headerReference r:id="rId3" w:type="even"/>
      <w:foot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Roman">
    <w:altName w:val="Times New Roman"/>
    <w:panose1 w:val="00000000000000000000"/>
    <w:charset w:val="00"/>
    <w:family w:val="roma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r>
      <w:rPr>
        <w:rStyle w:val="22"/>
      </w:rPr>
      <w:fldChar w:fldCharType="begin"/>
    </w:r>
    <w:r>
      <w:rPr>
        <w:rStyle w:val="22"/>
      </w:rPr>
      <w:instrText xml:space="preserve"> PAGE </w:instrText>
    </w:r>
    <w:r>
      <w:rPr>
        <w:rStyle w:val="22"/>
      </w:rPr>
      <w:fldChar w:fldCharType="separate"/>
    </w:r>
    <w:r>
      <w:rPr>
        <w:rStyle w:val="22"/>
      </w:rPr>
      <w:t>3</w:t>
    </w:r>
    <w:r>
      <w:rPr>
        <w:rStyle w:val="22"/>
      </w:rPr>
      <w:fldChar w:fldCharType="end"/>
    </w:r>
    <w:r>
      <w:rPr>
        <w:rStyle w:val="22"/>
      </w:rPr>
      <w:t>/</w:t>
    </w:r>
    <w:r>
      <w:rPr>
        <w:rStyle w:val="22"/>
      </w:rPr>
      <w:fldChar w:fldCharType="begin"/>
    </w:r>
    <w:r>
      <w:rPr>
        <w:rStyle w:val="22"/>
      </w:rPr>
      <w:instrText xml:space="preserve"> NUMPAGES </w:instrText>
    </w:r>
    <w:r>
      <w:rPr>
        <w:rStyle w:val="22"/>
      </w:rPr>
      <w:fldChar w:fldCharType="separate"/>
    </w:r>
    <w:r>
      <w:rPr>
        <w:rStyle w:val="22"/>
      </w:rPr>
      <w:t>3</w:t>
    </w:r>
    <w:r>
      <w:rPr>
        <w:rStyle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22"/>
      </w:rPr>
    </w:pPr>
    <w:r>
      <w:rPr>
        <w:rStyle w:val="22"/>
      </w:rPr>
      <w:fldChar w:fldCharType="begin"/>
    </w:r>
    <w:r>
      <w:rPr>
        <w:rStyle w:val="22"/>
      </w:rPr>
      <w:instrText xml:space="preserve">PAGE  </w:instrText>
    </w:r>
    <w:r>
      <w:rPr>
        <w:rStyle w:val="22"/>
      </w:rPr>
      <w:fldChar w:fldCharType="end"/>
    </w:r>
  </w:p>
  <w:p>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5959"/>
    <w:multiLevelType w:val="multilevel"/>
    <w:tmpl w:val="05E95959"/>
    <w:lvl w:ilvl="0" w:tentative="0">
      <w:start w:val="1"/>
      <w:numFmt w:val="decimal"/>
      <w:lvlText w:val="%1"/>
      <w:lvlJc w:val="left"/>
      <w:pPr>
        <w:tabs>
          <w:tab w:val="left" w:pos="1140"/>
        </w:tabs>
        <w:ind w:left="1140" w:hanging="1140"/>
      </w:pPr>
      <w:rPr>
        <w:rFonts w:hint="default"/>
      </w:rPr>
    </w:lvl>
    <w:lvl w:ilvl="1" w:tentative="0">
      <w:start w:val="1"/>
      <w:numFmt w:val="decimal"/>
      <w:lvlText w:val="%1.%2"/>
      <w:lvlJc w:val="left"/>
      <w:pPr>
        <w:tabs>
          <w:tab w:val="left" w:pos="1140"/>
        </w:tabs>
        <w:ind w:left="1140" w:hanging="1140"/>
      </w:pPr>
      <w:rPr>
        <w:rFonts w:hint="default"/>
      </w:rPr>
    </w:lvl>
    <w:lvl w:ilvl="2" w:tentative="0">
      <w:start w:val="1"/>
      <w:numFmt w:val="decimal"/>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4C17615D"/>
    <w:multiLevelType w:val="multilevel"/>
    <w:tmpl w:val="4C17615D"/>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421B68"/>
    <w:multiLevelType w:val="multilevel"/>
    <w:tmpl w:val="7D421B68"/>
    <w:lvl w:ilvl="0" w:tentative="0">
      <w:start w:val="1"/>
      <w:numFmt w:val="bullet"/>
      <w:pStyle w:val="8"/>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96"/>
    <w:rsid w:val="00010D34"/>
    <w:rsid w:val="00022216"/>
    <w:rsid w:val="00037582"/>
    <w:rsid w:val="00042869"/>
    <w:rsid w:val="000436A4"/>
    <w:rsid w:val="0004422F"/>
    <w:rsid w:val="00054E5C"/>
    <w:rsid w:val="00063DAE"/>
    <w:rsid w:val="000674B3"/>
    <w:rsid w:val="00081CDD"/>
    <w:rsid w:val="00082F9A"/>
    <w:rsid w:val="0009061D"/>
    <w:rsid w:val="000C2BC3"/>
    <w:rsid w:val="00122D19"/>
    <w:rsid w:val="00124E5D"/>
    <w:rsid w:val="00125DAC"/>
    <w:rsid w:val="00146E52"/>
    <w:rsid w:val="00153734"/>
    <w:rsid w:val="00154C05"/>
    <w:rsid w:val="00154E51"/>
    <w:rsid w:val="001567AB"/>
    <w:rsid w:val="0015790E"/>
    <w:rsid w:val="00177940"/>
    <w:rsid w:val="00195DD4"/>
    <w:rsid w:val="001A452F"/>
    <w:rsid w:val="001A5DE2"/>
    <w:rsid w:val="001B159B"/>
    <w:rsid w:val="001B1EC7"/>
    <w:rsid w:val="001D0962"/>
    <w:rsid w:val="001E1134"/>
    <w:rsid w:val="00221394"/>
    <w:rsid w:val="00234DC4"/>
    <w:rsid w:val="00250249"/>
    <w:rsid w:val="00255F0A"/>
    <w:rsid w:val="00260902"/>
    <w:rsid w:val="0027145F"/>
    <w:rsid w:val="002742EE"/>
    <w:rsid w:val="00275D27"/>
    <w:rsid w:val="0029388D"/>
    <w:rsid w:val="002B475A"/>
    <w:rsid w:val="002F6C8E"/>
    <w:rsid w:val="0031770B"/>
    <w:rsid w:val="00322E97"/>
    <w:rsid w:val="00340D26"/>
    <w:rsid w:val="00343100"/>
    <w:rsid w:val="00362F3B"/>
    <w:rsid w:val="00384FD9"/>
    <w:rsid w:val="00385D53"/>
    <w:rsid w:val="00386F50"/>
    <w:rsid w:val="0039061F"/>
    <w:rsid w:val="003A16DD"/>
    <w:rsid w:val="003C0B13"/>
    <w:rsid w:val="003C5BD8"/>
    <w:rsid w:val="003E4EB7"/>
    <w:rsid w:val="003E5FB8"/>
    <w:rsid w:val="00400A2E"/>
    <w:rsid w:val="00414486"/>
    <w:rsid w:val="0041454F"/>
    <w:rsid w:val="0041506D"/>
    <w:rsid w:val="00431380"/>
    <w:rsid w:val="0044101B"/>
    <w:rsid w:val="00445342"/>
    <w:rsid w:val="00451CA3"/>
    <w:rsid w:val="00465D8B"/>
    <w:rsid w:val="00476C2A"/>
    <w:rsid w:val="00490FDA"/>
    <w:rsid w:val="0049613A"/>
    <w:rsid w:val="004B17E0"/>
    <w:rsid w:val="004C1F6A"/>
    <w:rsid w:val="004D5F00"/>
    <w:rsid w:val="004D634E"/>
    <w:rsid w:val="004D7BB1"/>
    <w:rsid w:val="00520E7B"/>
    <w:rsid w:val="00520F4B"/>
    <w:rsid w:val="00527F03"/>
    <w:rsid w:val="00527F8A"/>
    <w:rsid w:val="00531F1A"/>
    <w:rsid w:val="00556D4C"/>
    <w:rsid w:val="0055738F"/>
    <w:rsid w:val="0056091D"/>
    <w:rsid w:val="00561A32"/>
    <w:rsid w:val="00564FA8"/>
    <w:rsid w:val="00570955"/>
    <w:rsid w:val="00581295"/>
    <w:rsid w:val="00582CAB"/>
    <w:rsid w:val="00586156"/>
    <w:rsid w:val="00594B35"/>
    <w:rsid w:val="005A74CD"/>
    <w:rsid w:val="005C4E49"/>
    <w:rsid w:val="005D1FCA"/>
    <w:rsid w:val="005D201C"/>
    <w:rsid w:val="005F55C0"/>
    <w:rsid w:val="005F78B3"/>
    <w:rsid w:val="005F7BBF"/>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41122"/>
    <w:rsid w:val="0075364E"/>
    <w:rsid w:val="00753A4F"/>
    <w:rsid w:val="0075443B"/>
    <w:rsid w:val="0076095E"/>
    <w:rsid w:val="007640FF"/>
    <w:rsid w:val="007860D7"/>
    <w:rsid w:val="00794448"/>
    <w:rsid w:val="007B1153"/>
    <w:rsid w:val="007C20CD"/>
    <w:rsid w:val="007C370A"/>
    <w:rsid w:val="007D7346"/>
    <w:rsid w:val="007E7769"/>
    <w:rsid w:val="00803AB5"/>
    <w:rsid w:val="008208F6"/>
    <w:rsid w:val="008260B0"/>
    <w:rsid w:val="00835C35"/>
    <w:rsid w:val="00836865"/>
    <w:rsid w:val="00847D09"/>
    <w:rsid w:val="00854585"/>
    <w:rsid w:val="00857DFD"/>
    <w:rsid w:val="00861358"/>
    <w:rsid w:val="00863FE3"/>
    <w:rsid w:val="008800C7"/>
    <w:rsid w:val="0088116B"/>
    <w:rsid w:val="0089355F"/>
    <w:rsid w:val="008B5BDF"/>
    <w:rsid w:val="008C6866"/>
    <w:rsid w:val="008D60F7"/>
    <w:rsid w:val="008E321A"/>
    <w:rsid w:val="008E5750"/>
    <w:rsid w:val="008E736B"/>
    <w:rsid w:val="008F06C7"/>
    <w:rsid w:val="00904028"/>
    <w:rsid w:val="00913E12"/>
    <w:rsid w:val="00925A9A"/>
    <w:rsid w:val="00935E08"/>
    <w:rsid w:val="00943B84"/>
    <w:rsid w:val="00957A4D"/>
    <w:rsid w:val="009627A6"/>
    <w:rsid w:val="00983EFA"/>
    <w:rsid w:val="009A7A74"/>
    <w:rsid w:val="009B0A3F"/>
    <w:rsid w:val="009C47B4"/>
    <w:rsid w:val="009D505B"/>
    <w:rsid w:val="009E02AC"/>
    <w:rsid w:val="009E1472"/>
    <w:rsid w:val="009E2C20"/>
    <w:rsid w:val="009F0072"/>
    <w:rsid w:val="009F2660"/>
    <w:rsid w:val="009F5385"/>
    <w:rsid w:val="00A04016"/>
    <w:rsid w:val="00A06BA2"/>
    <w:rsid w:val="00A15485"/>
    <w:rsid w:val="00A238B6"/>
    <w:rsid w:val="00A32A5A"/>
    <w:rsid w:val="00A3688E"/>
    <w:rsid w:val="00A40DBD"/>
    <w:rsid w:val="00A45641"/>
    <w:rsid w:val="00A458EA"/>
    <w:rsid w:val="00A5043D"/>
    <w:rsid w:val="00A562D2"/>
    <w:rsid w:val="00A64E9E"/>
    <w:rsid w:val="00A738C3"/>
    <w:rsid w:val="00A92CEC"/>
    <w:rsid w:val="00AA685A"/>
    <w:rsid w:val="00AB425B"/>
    <w:rsid w:val="00AB6DBE"/>
    <w:rsid w:val="00AD444A"/>
    <w:rsid w:val="00AE1A6A"/>
    <w:rsid w:val="00AE5896"/>
    <w:rsid w:val="00AE7EB7"/>
    <w:rsid w:val="00B13621"/>
    <w:rsid w:val="00B17212"/>
    <w:rsid w:val="00B27B76"/>
    <w:rsid w:val="00B32506"/>
    <w:rsid w:val="00B344FB"/>
    <w:rsid w:val="00B42AB1"/>
    <w:rsid w:val="00B563DD"/>
    <w:rsid w:val="00B64F64"/>
    <w:rsid w:val="00B71D12"/>
    <w:rsid w:val="00B71D35"/>
    <w:rsid w:val="00B7317A"/>
    <w:rsid w:val="00BA11DA"/>
    <w:rsid w:val="00BA1C99"/>
    <w:rsid w:val="00BA2B73"/>
    <w:rsid w:val="00BB5C86"/>
    <w:rsid w:val="00BD0F8A"/>
    <w:rsid w:val="00BF000D"/>
    <w:rsid w:val="00BF27FB"/>
    <w:rsid w:val="00C056B0"/>
    <w:rsid w:val="00C21AA4"/>
    <w:rsid w:val="00C260BB"/>
    <w:rsid w:val="00C338C6"/>
    <w:rsid w:val="00C4550B"/>
    <w:rsid w:val="00C51EDA"/>
    <w:rsid w:val="00C53F67"/>
    <w:rsid w:val="00C93656"/>
    <w:rsid w:val="00C94B32"/>
    <w:rsid w:val="00C94FFE"/>
    <w:rsid w:val="00CA7C43"/>
    <w:rsid w:val="00CB0B09"/>
    <w:rsid w:val="00CC6140"/>
    <w:rsid w:val="00CD34D4"/>
    <w:rsid w:val="00CD3E48"/>
    <w:rsid w:val="00CD6583"/>
    <w:rsid w:val="00CE3E25"/>
    <w:rsid w:val="00D04020"/>
    <w:rsid w:val="00D10724"/>
    <w:rsid w:val="00D123DA"/>
    <w:rsid w:val="00D31AEF"/>
    <w:rsid w:val="00D42713"/>
    <w:rsid w:val="00D43F0A"/>
    <w:rsid w:val="00D6066F"/>
    <w:rsid w:val="00D72E9C"/>
    <w:rsid w:val="00D73BC7"/>
    <w:rsid w:val="00D75227"/>
    <w:rsid w:val="00D76286"/>
    <w:rsid w:val="00D8305F"/>
    <w:rsid w:val="00D866BD"/>
    <w:rsid w:val="00DC6F4D"/>
    <w:rsid w:val="00DF67C0"/>
    <w:rsid w:val="00E06B08"/>
    <w:rsid w:val="00E33A77"/>
    <w:rsid w:val="00E346D4"/>
    <w:rsid w:val="00E34A1D"/>
    <w:rsid w:val="00E357FC"/>
    <w:rsid w:val="00E605EA"/>
    <w:rsid w:val="00E64FFE"/>
    <w:rsid w:val="00E67A9C"/>
    <w:rsid w:val="00E74BCC"/>
    <w:rsid w:val="00E836D1"/>
    <w:rsid w:val="00EA0D1C"/>
    <w:rsid w:val="00EA4473"/>
    <w:rsid w:val="00EC6AFC"/>
    <w:rsid w:val="00EE2928"/>
    <w:rsid w:val="00EE3BA5"/>
    <w:rsid w:val="00EE536F"/>
    <w:rsid w:val="00EE71A9"/>
    <w:rsid w:val="00EF15B3"/>
    <w:rsid w:val="00EF6655"/>
    <w:rsid w:val="00EF786E"/>
    <w:rsid w:val="00F00BC4"/>
    <w:rsid w:val="00F01430"/>
    <w:rsid w:val="00F03CD9"/>
    <w:rsid w:val="00F22702"/>
    <w:rsid w:val="00F34287"/>
    <w:rsid w:val="00F34461"/>
    <w:rsid w:val="00F47E3B"/>
    <w:rsid w:val="00F5209A"/>
    <w:rsid w:val="00F564C2"/>
    <w:rsid w:val="00F5785D"/>
    <w:rsid w:val="00F579C5"/>
    <w:rsid w:val="00F63972"/>
    <w:rsid w:val="00F67F4B"/>
    <w:rsid w:val="00F752F5"/>
    <w:rsid w:val="00F80F24"/>
    <w:rsid w:val="00F81424"/>
    <w:rsid w:val="00F8682C"/>
    <w:rsid w:val="00FA2448"/>
    <w:rsid w:val="00FA3375"/>
    <w:rsid w:val="00FB2B55"/>
    <w:rsid w:val="00FE0B54"/>
    <w:rsid w:val="0C884B6E"/>
    <w:rsid w:val="18E95818"/>
    <w:rsid w:val="237D72FD"/>
    <w:rsid w:val="29710D6A"/>
    <w:rsid w:val="29AF6D09"/>
    <w:rsid w:val="2CA00B87"/>
    <w:rsid w:val="38603EB9"/>
    <w:rsid w:val="3B422B56"/>
    <w:rsid w:val="400D092E"/>
    <w:rsid w:val="41704CE8"/>
    <w:rsid w:val="44B05189"/>
    <w:rsid w:val="58D97330"/>
    <w:rsid w:val="6AA05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qFormat="1" w:unhideWhenUsed="0" w:uiPriority="0" w:semiHidden="0" w:name="List Bullet"/>
    <w:lsdException w:uiPriority="99" w:name="List Number"/>
    <w:lsdException w:qFormat="1" w:uiPriority="99" w:name="List 2"/>
    <w:lsdException w:qFormat="1" w:uiPriority="99" w:name="List 3"/>
    <w:lsdException w:qFormat="1"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28"/>
    <w:qFormat/>
    <w:uiPriority w:val="9"/>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51"/>
    <w:unhideWhenUsed/>
    <w:qFormat/>
    <w:uiPriority w:val="9"/>
    <w:p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3"/>
    <w:next w:val="1"/>
    <w:link w:val="43"/>
    <w:unhideWhenUsed/>
    <w:qFormat/>
    <w:uiPriority w:val="0"/>
    <w:pPr>
      <w:outlineLvl w:val="2"/>
    </w:pPr>
    <w:rPr>
      <w:color w:val="203864" w:themeColor="accent1" w:themeShade="80"/>
      <w:sz w:val="24"/>
      <w:szCs w:val="24"/>
    </w:rPr>
  </w:style>
  <w:style w:type="paragraph" w:styleId="5">
    <w:name w:val="heading 4"/>
    <w:basedOn w:val="1"/>
    <w:next w:val="1"/>
    <w:link w:val="50"/>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6">
    <w:name w:val="List 3"/>
    <w:basedOn w:val="1"/>
    <w:semiHidden/>
    <w:unhideWhenUsed/>
    <w:qFormat/>
    <w:uiPriority w:val="99"/>
    <w:pPr>
      <w:ind w:left="1080" w:hanging="360"/>
      <w:contextualSpacing/>
    </w:pPr>
  </w:style>
  <w:style w:type="paragraph" w:styleId="7">
    <w:name w:val="caption"/>
    <w:basedOn w:val="1"/>
    <w:next w:val="1"/>
    <w:link w:val="31"/>
    <w:qFormat/>
    <w:uiPriority w:val="0"/>
    <w:pPr>
      <w:overflowPunct w:val="0"/>
      <w:autoSpaceDE w:val="0"/>
      <w:autoSpaceDN w:val="0"/>
      <w:adjustRightInd w:val="0"/>
      <w:spacing w:before="120" w:after="120"/>
      <w:textAlignment w:val="baseline"/>
    </w:pPr>
    <w:rPr>
      <w:rFonts w:eastAsia="宋体"/>
      <w:b/>
      <w:bCs/>
      <w:lang w:val="en-US"/>
    </w:rPr>
  </w:style>
  <w:style w:type="paragraph" w:styleId="8">
    <w:name w:val="List Bullet"/>
    <w:basedOn w:val="1"/>
    <w:qFormat/>
    <w:uiPriority w:val="0"/>
    <w:pPr>
      <w:widowControl w:val="0"/>
      <w:numPr>
        <w:ilvl w:val="0"/>
        <w:numId w:val="1"/>
      </w:numPr>
      <w:spacing w:after="0"/>
      <w:jc w:val="both"/>
    </w:pPr>
    <w:rPr>
      <w:rFonts w:eastAsia="MS Gothic"/>
      <w:kern w:val="2"/>
      <w:lang w:val="en-US" w:eastAsia="ja-JP"/>
    </w:rPr>
  </w:style>
  <w:style w:type="paragraph" w:styleId="9">
    <w:name w:val="annotation text"/>
    <w:basedOn w:val="1"/>
    <w:link w:val="41"/>
    <w:unhideWhenUsed/>
    <w:qFormat/>
    <w:uiPriority w:val="99"/>
    <w:pPr>
      <w:overflowPunct w:val="0"/>
      <w:autoSpaceDE w:val="0"/>
      <w:autoSpaceDN w:val="0"/>
      <w:adjustRightInd w:val="0"/>
      <w:textAlignment w:val="baseline"/>
    </w:pPr>
    <w:rPr>
      <w:rFonts w:eastAsia="宋体"/>
    </w:rPr>
  </w:style>
  <w:style w:type="paragraph" w:styleId="10">
    <w:name w:val="List 2"/>
    <w:basedOn w:val="1"/>
    <w:semiHidden/>
    <w:unhideWhenUsed/>
    <w:qFormat/>
    <w:uiPriority w:val="99"/>
    <w:pPr>
      <w:ind w:left="720" w:hanging="360"/>
      <w:contextualSpacing/>
    </w:pPr>
  </w:style>
  <w:style w:type="paragraph" w:styleId="11">
    <w:name w:val="Balloon Text"/>
    <w:basedOn w:val="1"/>
    <w:link w:val="39"/>
    <w:semiHidden/>
    <w:unhideWhenUsed/>
    <w:qFormat/>
    <w:uiPriority w:val="99"/>
    <w:pPr>
      <w:overflowPunct w:val="0"/>
      <w:autoSpaceDE w:val="0"/>
      <w:autoSpaceDN w:val="0"/>
      <w:adjustRightInd w:val="0"/>
      <w:spacing w:after="0"/>
      <w:textAlignment w:val="baseline"/>
    </w:pPr>
    <w:rPr>
      <w:rFonts w:ascii="Segoe UI" w:hAnsi="Segoe UI" w:eastAsia="宋体" w:cs="Segoe UI"/>
      <w:sz w:val="18"/>
      <w:szCs w:val="18"/>
    </w:rPr>
  </w:style>
  <w:style w:type="paragraph" w:styleId="12">
    <w:name w:val="footer"/>
    <w:basedOn w:val="13"/>
    <w:link w:val="27"/>
    <w:qFormat/>
    <w:uiPriority w:val="0"/>
    <w:pPr>
      <w:jc w:val="center"/>
    </w:pPr>
    <w:rPr>
      <w:i/>
    </w:rPr>
  </w:style>
  <w:style w:type="paragraph" w:styleId="13">
    <w:name w:val="header"/>
    <w:link w:val="26"/>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14">
    <w:name w:val="List"/>
    <w:basedOn w:val="1"/>
    <w:semiHidden/>
    <w:unhideWhenUsed/>
    <w:qFormat/>
    <w:uiPriority w:val="99"/>
    <w:pPr>
      <w:overflowPunct w:val="0"/>
      <w:autoSpaceDE w:val="0"/>
      <w:autoSpaceDN w:val="0"/>
      <w:adjustRightInd w:val="0"/>
      <w:ind w:left="360" w:hanging="360"/>
      <w:contextualSpacing/>
      <w:textAlignment w:val="baseline"/>
    </w:pPr>
    <w:rPr>
      <w:rFonts w:eastAsia="宋体"/>
    </w:rPr>
  </w:style>
  <w:style w:type="paragraph" w:styleId="15">
    <w:name w:val="List 4"/>
    <w:basedOn w:val="1"/>
    <w:semiHidden/>
    <w:unhideWhenUsed/>
    <w:qFormat/>
    <w:uiPriority w:val="99"/>
    <w:pPr>
      <w:ind w:left="1440" w:hanging="360"/>
      <w:contextualSpacing/>
    </w:pPr>
  </w:style>
  <w:style w:type="paragraph" w:styleId="16">
    <w:name w:val="Normal (Web)"/>
    <w:basedOn w:val="1"/>
    <w:semiHidden/>
    <w:unhideWhenUsed/>
    <w:qFormat/>
    <w:uiPriority w:val="99"/>
    <w:pPr>
      <w:spacing w:before="100" w:beforeAutospacing="1" w:after="100" w:afterAutospacing="1"/>
    </w:pPr>
    <w:rPr>
      <w:sz w:val="24"/>
      <w:szCs w:val="24"/>
      <w:lang w:val="en-US"/>
    </w:rPr>
  </w:style>
  <w:style w:type="paragraph" w:styleId="17">
    <w:name w:val="annotation subject"/>
    <w:basedOn w:val="9"/>
    <w:next w:val="9"/>
    <w:link w:val="42"/>
    <w:semiHidden/>
    <w:unhideWhenUsed/>
    <w:qFormat/>
    <w:uiPriority w:val="99"/>
    <w:rPr>
      <w:b/>
      <w:bCs/>
    </w:rPr>
  </w:style>
  <w:style w:type="table" w:styleId="19">
    <w:name w:val="Table Grid"/>
    <w:basedOn w:val="1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bCs/>
    </w:rPr>
  </w:style>
  <w:style w:type="character" w:styleId="22">
    <w:name w:val="page number"/>
    <w:basedOn w:val="20"/>
    <w:qFormat/>
    <w:uiPriority w:val="0"/>
  </w:style>
  <w:style w:type="character" w:styleId="23">
    <w:name w:val="Hyperlink"/>
    <w:qFormat/>
    <w:uiPriority w:val="99"/>
    <w:rPr>
      <w:color w:val="0000FF"/>
      <w:u w:val="single"/>
    </w:rPr>
  </w:style>
  <w:style w:type="character" w:styleId="24">
    <w:name w:val="annotation reference"/>
    <w:basedOn w:val="20"/>
    <w:semiHidden/>
    <w:unhideWhenUsed/>
    <w:qFormat/>
    <w:uiPriority w:val="99"/>
    <w:rPr>
      <w:sz w:val="16"/>
      <w:szCs w:val="16"/>
    </w:rPr>
  </w:style>
  <w:style w:type="character" w:customStyle="1" w:styleId="25">
    <w:name w:val="Heading 1 Char"/>
    <w:qFormat/>
    <w:uiPriority w:val="9"/>
    <w:rPr>
      <w:rFonts w:ascii="Calibri Light" w:hAnsi="Calibri Light" w:eastAsia="Times New Roman" w:cs="Times New Roman"/>
      <w:color w:val="2F5496"/>
      <w:sz w:val="32"/>
      <w:szCs w:val="32"/>
      <w:lang w:val="en-GB"/>
    </w:rPr>
  </w:style>
  <w:style w:type="character" w:customStyle="1" w:styleId="26">
    <w:name w:val="页眉 Char"/>
    <w:link w:val="13"/>
    <w:qFormat/>
    <w:uiPriority w:val="0"/>
    <w:rPr>
      <w:rFonts w:ascii="Arial" w:hAnsi="Arial" w:eastAsia="宋体" w:cs="Times New Roman"/>
      <w:b/>
      <w:sz w:val="18"/>
      <w:szCs w:val="20"/>
    </w:rPr>
  </w:style>
  <w:style w:type="character" w:customStyle="1" w:styleId="27">
    <w:name w:val="页脚 Char"/>
    <w:link w:val="12"/>
    <w:qFormat/>
    <w:uiPriority w:val="0"/>
    <w:rPr>
      <w:rFonts w:ascii="Arial" w:hAnsi="Arial" w:eastAsia="宋体" w:cs="Times New Roman"/>
      <w:b/>
      <w:i/>
      <w:sz w:val="18"/>
      <w:szCs w:val="20"/>
    </w:rPr>
  </w:style>
  <w:style w:type="character" w:customStyle="1" w:styleId="28">
    <w:name w:val="标题 1 Char"/>
    <w:link w:val="2"/>
    <w:qFormat/>
    <w:uiPriority w:val="9"/>
    <w:rPr>
      <w:rFonts w:ascii="Arial" w:hAnsi="Arial" w:eastAsia="宋体" w:cs="Times New Roman"/>
      <w:sz w:val="36"/>
      <w:szCs w:val="20"/>
      <w:lang w:val="en-GB"/>
    </w:rPr>
  </w:style>
  <w:style w:type="paragraph" w:styleId="29">
    <w:name w:val="List Paragraph"/>
    <w:basedOn w:val="1"/>
    <w:link w:val="46"/>
    <w:qFormat/>
    <w:uiPriority w:val="34"/>
    <w:pPr>
      <w:overflowPunct w:val="0"/>
      <w:autoSpaceDE w:val="0"/>
      <w:autoSpaceDN w:val="0"/>
      <w:adjustRightInd w:val="0"/>
      <w:ind w:left="720"/>
      <w:contextualSpacing/>
      <w:textAlignment w:val="baseline"/>
    </w:pPr>
    <w:rPr>
      <w:rFonts w:eastAsia="宋体"/>
    </w:rPr>
  </w:style>
  <w:style w:type="paragraph" w:customStyle="1" w:styleId="30">
    <w:name w:val="B1"/>
    <w:basedOn w:val="14"/>
    <w:link w:val="32"/>
    <w:qFormat/>
    <w:uiPriority w:val="0"/>
    <w:pPr>
      <w:overflowPunct/>
      <w:autoSpaceDE/>
      <w:autoSpaceDN/>
      <w:adjustRightInd/>
      <w:ind w:left="568" w:hanging="284"/>
      <w:contextualSpacing w:val="0"/>
      <w:textAlignment w:val="auto"/>
    </w:pPr>
    <w:rPr>
      <w:rFonts w:eastAsia="Malgun Gothic"/>
    </w:rPr>
  </w:style>
  <w:style w:type="character" w:customStyle="1" w:styleId="31">
    <w:name w:val="题注 Char"/>
    <w:link w:val="7"/>
    <w:qFormat/>
    <w:uiPriority w:val="35"/>
    <w:rPr>
      <w:rFonts w:ascii="Times New Roman" w:hAnsi="Times New Roman" w:eastAsia="宋体" w:cs="Times New Roman"/>
      <w:b/>
      <w:bCs/>
      <w:sz w:val="20"/>
      <w:szCs w:val="20"/>
    </w:rPr>
  </w:style>
  <w:style w:type="character" w:customStyle="1" w:styleId="32">
    <w:name w:val="B1 Char1"/>
    <w:link w:val="30"/>
    <w:qFormat/>
    <w:uiPriority w:val="0"/>
    <w:rPr>
      <w:rFonts w:ascii="Times New Roman" w:hAnsi="Times New Roman" w:eastAsia="Malgun Gothic" w:cs="Times New Roman"/>
      <w:sz w:val="20"/>
      <w:szCs w:val="20"/>
      <w:lang w:val="en-GB"/>
    </w:rPr>
  </w:style>
  <w:style w:type="paragraph" w:customStyle="1" w:styleId="33">
    <w:name w:val="TAH"/>
    <w:basedOn w:val="34"/>
    <w:link w:val="37"/>
    <w:qFormat/>
    <w:uiPriority w:val="0"/>
    <w:rPr>
      <w:b/>
    </w:rPr>
  </w:style>
  <w:style w:type="paragraph" w:customStyle="1" w:styleId="34">
    <w:name w:val="TAC"/>
    <w:basedOn w:val="35"/>
    <w:link w:val="36"/>
    <w:qFormat/>
    <w:uiPriority w:val="0"/>
    <w:pPr>
      <w:jc w:val="center"/>
    </w:pPr>
    <w:rPr>
      <w:lang w:eastAsia="en-GB"/>
    </w:rPr>
  </w:style>
  <w:style w:type="paragraph" w:customStyle="1" w:styleId="35">
    <w:name w:val="TAL"/>
    <w:basedOn w:val="1"/>
    <w:link w:val="62"/>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36">
    <w:name w:val="TAC Char"/>
    <w:link w:val="34"/>
    <w:qFormat/>
    <w:locked/>
    <w:uiPriority w:val="0"/>
    <w:rPr>
      <w:rFonts w:ascii="Arial" w:hAnsi="Arial" w:eastAsia="Times New Roman" w:cs="Times New Roman"/>
      <w:sz w:val="18"/>
      <w:szCs w:val="20"/>
      <w:lang w:val="en-GB" w:eastAsia="en-GB"/>
    </w:rPr>
  </w:style>
  <w:style w:type="character" w:customStyle="1" w:styleId="37">
    <w:name w:val="TAH Car"/>
    <w:link w:val="33"/>
    <w:qFormat/>
    <w:uiPriority w:val="0"/>
    <w:rPr>
      <w:rFonts w:ascii="Arial" w:hAnsi="Arial" w:eastAsia="Times New Roman" w:cs="Times New Roman"/>
      <w:b/>
      <w:sz w:val="18"/>
      <w:szCs w:val="20"/>
      <w:lang w:val="en-GB" w:eastAsia="en-GB"/>
    </w:rPr>
  </w:style>
  <w:style w:type="character" w:customStyle="1" w:styleId="38">
    <w:name w:val="fontstyle01"/>
    <w:qFormat/>
    <w:uiPriority w:val="0"/>
    <w:rPr>
      <w:rFonts w:hint="default" w:ascii="Times-Roman" w:hAnsi="Times-Roman"/>
      <w:color w:val="000000"/>
      <w:sz w:val="20"/>
      <w:szCs w:val="20"/>
    </w:rPr>
  </w:style>
  <w:style w:type="character" w:customStyle="1" w:styleId="39">
    <w:name w:val="批注框文本 Char"/>
    <w:basedOn w:val="20"/>
    <w:link w:val="11"/>
    <w:semiHidden/>
    <w:qFormat/>
    <w:uiPriority w:val="99"/>
    <w:rPr>
      <w:rFonts w:ascii="Segoe UI" w:hAnsi="Segoe UI" w:eastAsia="宋体" w:cs="Segoe UI"/>
      <w:sz w:val="18"/>
      <w:szCs w:val="18"/>
      <w:lang w:val="en-GB"/>
    </w:rPr>
  </w:style>
  <w:style w:type="character" w:styleId="40">
    <w:name w:val="Placeholder Text"/>
    <w:basedOn w:val="20"/>
    <w:semiHidden/>
    <w:uiPriority w:val="99"/>
    <w:rPr>
      <w:color w:val="808080"/>
    </w:rPr>
  </w:style>
  <w:style w:type="character" w:customStyle="1" w:styleId="41">
    <w:name w:val="批注文字 Char"/>
    <w:basedOn w:val="20"/>
    <w:link w:val="9"/>
    <w:qFormat/>
    <w:uiPriority w:val="99"/>
    <w:rPr>
      <w:rFonts w:ascii="Times New Roman" w:hAnsi="Times New Roman" w:eastAsia="宋体"/>
      <w:lang w:val="en-GB"/>
    </w:rPr>
  </w:style>
  <w:style w:type="character" w:customStyle="1" w:styleId="42">
    <w:name w:val="批注主题 Char"/>
    <w:basedOn w:val="41"/>
    <w:link w:val="17"/>
    <w:semiHidden/>
    <w:qFormat/>
    <w:uiPriority w:val="99"/>
    <w:rPr>
      <w:rFonts w:ascii="Times New Roman" w:hAnsi="Times New Roman" w:eastAsia="宋体"/>
      <w:b/>
      <w:bCs/>
      <w:lang w:val="en-GB"/>
    </w:rPr>
  </w:style>
  <w:style w:type="character" w:customStyle="1" w:styleId="43">
    <w:name w:val="标题 3 Char"/>
    <w:basedOn w:val="20"/>
    <w:link w:val="4"/>
    <w:qFormat/>
    <w:uiPriority w:val="0"/>
    <w:rPr>
      <w:rFonts w:asciiTheme="majorHAnsi" w:hAnsiTheme="majorHAnsi" w:eastAsiaTheme="majorEastAsia" w:cstheme="majorBidi"/>
      <w:color w:val="203864" w:themeColor="accent1" w:themeShade="80"/>
      <w:sz w:val="24"/>
      <w:szCs w:val="24"/>
      <w:lang w:val="en-GB"/>
    </w:rPr>
  </w:style>
  <w:style w:type="character" w:customStyle="1" w:styleId="44">
    <w:name w:val="TH Char"/>
    <w:link w:val="45"/>
    <w:qFormat/>
    <w:locked/>
    <w:uiPriority w:val="0"/>
    <w:rPr>
      <w:rFonts w:ascii="Arial" w:hAnsi="Arial" w:cs="Arial"/>
      <w:b/>
      <w:lang w:val="en-GB"/>
    </w:rPr>
  </w:style>
  <w:style w:type="paragraph" w:customStyle="1" w:styleId="45">
    <w:name w:val="TH"/>
    <w:basedOn w:val="1"/>
    <w:link w:val="44"/>
    <w:qFormat/>
    <w:uiPriority w:val="0"/>
    <w:pPr>
      <w:keepNext/>
      <w:keepLines/>
      <w:spacing w:before="60"/>
      <w:jc w:val="center"/>
    </w:pPr>
    <w:rPr>
      <w:rFonts w:ascii="Arial" w:hAnsi="Arial" w:eastAsia="Calibri" w:cs="Arial"/>
      <w:b/>
    </w:rPr>
  </w:style>
  <w:style w:type="character" w:customStyle="1" w:styleId="46">
    <w:name w:val="列出段落 Char"/>
    <w:link w:val="29"/>
    <w:qFormat/>
    <w:locked/>
    <w:uiPriority w:val="34"/>
    <w:rPr>
      <w:rFonts w:ascii="Times New Roman" w:hAnsi="Times New Roman" w:eastAsia="宋体"/>
      <w:lang w:val="en-GB"/>
    </w:rPr>
  </w:style>
  <w:style w:type="paragraph" w:customStyle="1" w:styleId="47">
    <w:name w:val="B2"/>
    <w:basedOn w:val="10"/>
    <w:link w:val="48"/>
    <w:qFormat/>
    <w:uiPriority w:val="0"/>
    <w:pPr>
      <w:overflowPunct w:val="0"/>
      <w:autoSpaceDE w:val="0"/>
      <w:autoSpaceDN w:val="0"/>
      <w:adjustRightInd w:val="0"/>
      <w:ind w:left="851" w:hanging="284"/>
      <w:contextualSpacing w:val="0"/>
      <w:textAlignment w:val="baseline"/>
    </w:pPr>
  </w:style>
  <w:style w:type="character" w:customStyle="1" w:styleId="48">
    <w:name w:val="B2 Char"/>
    <w:link w:val="47"/>
    <w:qFormat/>
    <w:locked/>
    <w:uiPriority w:val="0"/>
    <w:rPr>
      <w:rFonts w:ascii="Times New Roman" w:hAnsi="Times New Roman" w:eastAsia="Times New Roman"/>
      <w:lang w:val="en-GB"/>
    </w:rPr>
  </w:style>
  <w:style w:type="paragraph" w:customStyle="1" w:styleId="49">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50">
    <w:name w:val="标题 4 Char"/>
    <w:basedOn w:val="20"/>
    <w:link w:val="5"/>
    <w:semiHidden/>
    <w:qFormat/>
    <w:uiPriority w:val="9"/>
    <w:rPr>
      <w:rFonts w:asciiTheme="majorHAnsi" w:hAnsiTheme="majorHAnsi" w:eastAsiaTheme="majorEastAsia" w:cstheme="majorBidi"/>
      <w:i/>
      <w:iCs/>
      <w:color w:val="2F5597" w:themeColor="accent1" w:themeShade="BF"/>
      <w:lang w:val="en-GB"/>
    </w:rPr>
  </w:style>
  <w:style w:type="character" w:customStyle="1" w:styleId="51">
    <w:name w:val="标题 2 Char"/>
    <w:basedOn w:val="20"/>
    <w:link w:val="3"/>
    <w:qFormat/>
    <w:uiPriority w:val="9"/>
    <w:rPr>
      <w:rFonts w:asciiTheme="majorHAnsi" w:hAnsiTheme="majorHAnsi" w:eastAsiaTheme="majorEastAsia" w:cstheme="majorBidi"/>
      <w:color w:val="2F5597" w:themeColor="accent1" w:themeShade="BF"/>
      <w:sz w:val="26"/>
      <w:szCs w:val="26"/>
      <w:lang w:val="en-GB"/>
    </w:rPr>
  </w:style>
  <w:style w:type="paragraph" w:customStyle="1" w:styleId="52">
    <w:name w:val="B3"/>
    <w:basedOn w:val="6"/>
    <w:link w:val="54"/>
    <w:qFormat/>
    <w:uiPriority w:val="0"/>
    <w:pPr>
      <w:overflowPunct w:val="0"/>
      <w:autoSpaceDE w:val="0"/>
      <w:autoSpaceDN w:val="0"/>
      <w:adjustRightInd w:val="0"/>
      <w:ind w:left="1135" w:hanging="284"/>
      <w:contextualSpacing w:val="0"/>
      <w:textAlignment w:val="baseline"/>
    </w:pPr>
    <w:rPr>
      <w:lang w:eastAsia="en-GB"/>
    </w:rPr>
  </w:style>
  <w:style w:type="paragraph" w:customStyle="1" w:styleId="53">
    <w:name w:val="B4"/>
    <w:basedOn w:val="15"/>
    <w:qFormat/>
    <w:uiPriority w:val="0"/>
    <w:pPr>
      <w:overflowPunct w:val="0"/>
      <w:autoSpaceDE w:val="0"/>
      <w:autoSpaceDN w:val="0"/>
      <w:adjustRightInd w:val="0"/>
      <w:ind w:left="1418" w:hanging="284"/>
      <w:contextualSpacing w:val="0"/>
      <w:textAlignment w:val="baseline"/>
    </w:pPr>
    <w:rPr>
      <w:lang w:eastAsia="en-GB"/>
    </w:rPr>
  </w:style>
  <w:style w:type="character" w:customStyle="1" w:styleId="54">
    <w:name w:val="B3 Char"/>
    <w:link w:val="52"/>
    <w:qFormat/>
    <w:uiPriority w:val="0"/>
    <w:rPr>
      <w:rFonts w:ascii="Times New Roman" w:hAnsi="Times New Roman" w:eastAsia="Times New Roman"/>
      <w:lang w:val="en-GB" w:eastAsia="en-GB"/>
    </w:rPr>
  </w:style>
  <w:style w:type="paragraph" w:customStyle="1" w:styleId="55">
    <w:name w:val="tah"/>
    <w:basedOn w:val="1"/>
    <w:qFormat/>
    <w:uiPriority w:val="0"/>
    <w:pPr>
      <w:spacing w:before="100" w:beforeAutospacing="1" w:after="100" w:afterAutospacing="1"/>
    </w:pPr>
    <w:rPr>
      <w:sz w:val="24"/>
      <w:szCs w:val="24"/>
      <w:lang w:val="en-US"/>
    </w:rPr>
  </w:style>
  <w:style w:type="paragraph" w:customStyle="1" w:styleId="56">
    <w:name w:val="tal"/>
    <w:basedOn w:val="1"/>
    <w:qFormat/>
    <w:uiPriority w:val="0"/>
    <w:pPr>
      <w:spacing w:before="100" w:beforeAutospacing="1" w:after="100" w:afterAutospacing="1"/>
    </w:pPr>
    <w:rPr>
      <w:sz w:val="24"/>
      <w:szCs w:val="24"/>
      <w:lang w:val="en-US"/>
    </w:rPr>
  </w:style>
  <w:style w:type="table" w:customStyle="1" w:styleId="57">
    <w:name w:val="Grid Table 5 Dark - Accent 51"/>
    <w:basedOn w:val="1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character" w:customStyle="1" w:styleId="58">
    <w:name w:val="apple-converted-space"/>
    <w:basedOn w:val="20"/>
    <w:qFormat/>
    <w:uiPriority w:val="0"/>
  </w:style>
  <w:style w:type="paragraph" w:customStyle="1" w:styleId="59">
    <w:name w:val="b1"/>
    <w:basedOn w:val="1"/>
    <w:qFormat/>
    <w:uiPriority w:val="0"/>
    <w:pPr>
      <w:spacing w:before="100" w:beforeAutospacing="1" w:after="100" w:afterAutospacing="1"/>
    </w:pPr>
    <w:rPr>
      <w:sz w:val="24"/>
      <w:szCs w:val="24"/>
      <w:lang w:val="en-US"/>
    </w:rPr>
  </w:style>
  <w:style w:type="paragraph" w:customStyle="1" w:styleId="60">
    <w:name w:val="b2"/>
    <w:basedOn w:val="1"/>
    <w:qFormat/>
    <w:uiPriority w:val="0"/>
    <w:pPr>
      <w:spacing w:before="100" w:beforeAutospacing="1" w:after="100" w:afterAutospacing="1"/>
    </w:pPr>
    <w:rPr>
      <w:sz w:val="24"/>
      <w:szCs w:val="24"/>
      <w:lang w:val="en-US"/>
    </w:rPr>
  </w:style>
  <w:style w:type="paragraph" w:customStyle="1" w:styleId="61">
    <w:name w:val="pl"/>
    <w:basedOn w:val="1"/>
    <w:qFormat/>
    <w:uiPriority w:val="0"/>
    <w:pPr>
      <w:spacing w:before="100" w:beforeAutospacing="1" w:after="100" w:afterAutospacing="1"/>
    </w:pPr>
    <w:rPr>
      <w:sz w:val="24"/>
      <w:szCs w:val="24"/>
      <w:lang w:val="en-US"/>
    </w:rPr>
  </w:style>
  <w:style w:type="character" w:customStyle="1" w:styleId="62">
    <w:name w:val="TAL Car"/>
    <w:link w:val="35"/>
    <w:qFormat/>
    <w:uiPriority w:val="0"/>
    <w:rPr>
      <w:rFonts w:ascii="Arial" w:hAnsi="Arial" w:eastAsia="Times New Roman"/>
      <w:sz w:val="18"/>
      <w:lang w:val="en-GB" w:eastAsia="ja-JP"/>
    </w:rPr>
  </w:style>
  <w:style w:type="paragraph" w:customStyle="1" w:styleId="63">
    <w:name w:val="TAN"/>
    <w:basedOn w:val="35"/>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E45FAC-DD25-4209-8E5D-AC99BA15C861}">
  <ds:schemaRefs/>
</ds:datastoreItem>
</file>

<file path=customXml/itemProps3.xml><?xml version="1.0" encoding="utf-8"?>
<ds:datastoreItem xmlns:ds="http://schemas.openxmlformats.org/officeDocument/2006/customXml" ds:itemID="{C24F9521-7479-4E3D-B853-85C30A4CD43D}">
  <ds:schemaRefs/>
</ds:datastoreItem>
</file>

<file path=customXml/itemProps4.xml><?xml version="1.0" encoding="utf-8"?>
<ds:datastoreItem xmlns:ds="http://schemas.openxmlformats.org/officeDocument/2006/customXml" ds:itemID="{9FA42B3A-4CD7-4E3B-B0EF-E13934F4A2B6}">
  <ds:schemaRefs/>
</ds:datastoreItem>
</file>

<file path=customXml/itemProps5.xml><?xml version="1.0" encoding="utf-8"?>
<ds:datastoreItem xmlns:ds="http://schemas.openxmlformats.org/officeDocument/2006/customXml" ds:itemID="{AF7299DC-E9B5-4C5A-B03E-00EF26172912}">
  <ds:schemaRefs/>
</ds:datastoreItem>
</file>

<file path=customXml/itemProps6.xml><?xml version="1.0" encoding="utf-8"?>
<ds:datastoreItem xmlns:ds="http://schemas.openxmlformats.org/officeDocument/2006/customXml" ds:itemID="{AFA1A405-6E9C-41A4-877B-7A3B084B9CE4}">
  <ds:schemaRefs/>
</ds:datastoreItem>
</file>

<file path=docProps/app.xml><?xml version="1.0" encoding="utf-8"?>
<Properties xmlns="http://schemas.openxmlformats.org/officeDocument/2006/extended-properties" xmlns:vt="http://schemas.openxmlformats.org/officeDocument/2006/docPropsVTypes">
  <Template>Normal</Template>
  <Pages>3</Pages>
  <Words>918</Words>
  <Characters>5234</Characters>
  <Lines>43</Lines>
  <Paragraphs>12</Paragraphs>
  <TotalTime>7</TotalTime>
  <ScaleCrop>false</ScaleCrop>
  <LinksUpToDate>false</LinksUpToDate>
  <CharactersWithSpaces>6140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2022-08-22T14:40:00Z</dcterms:created>
  <dc:creator>10240485</dc:creator>
  <cp:lastModifiedBy>ZTE-Ziyang</cp:lastModifiedBy>
  <cp:lastPrinted>2020-02-10T06:14:00Z</cp:lastPrinted>
  <dcterms:modified xsi:type="dcterms:W3CDTF">2022-08-23T06:11:25Z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y fmtid="{D5CDD505-2E9C-101B-9397-08002B2CF9AE}" pid="4" name="KSOProductBuildVer">
    <vt:lpwstr>2052-11.8.2.9022</vt:lpwstr>
  </property>
</Properties>
</file>